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F56CA" w14:textId="77777777" w:rsidR="000204E0" w:rsidRDefault="00DD43F2" w:rsidP="00C17CD8">
      <w:pPr>
        <w:pStyle w:val="Heading6"/>
        <w:rPr>
          <w:rFonts w:ascii="Arial" w:hAnsi="Arial"/>
        </w:rPr>
      </w:pPr>
      <w:r>
        <w:rPr>
          <w:noProof/>
        </w:rPr>
        <mc:AlternateContent>
          <mc:Choice Requires="wps">
            <w:drawing>
              <wp:anchor distT="0" distB="0" distL="114300" distR="114300" simplePos="0" relativeHeight="251657728" behindDoc="0" locked="0" layoutInCell="1" allowOverlap="1" wp14:anchorId="4CD88C70" wp14:editId="2A90808D">
                <wp:simplePos x="0" y="0"/>
                <wp:positionH relativeFrom="margin">
                  <wp:align>right</wp:align>
                </wp:positionH>
                <wp:positionV relativeFrom="paragraph">
                  <wp:posOffset>-386714</wp:posOffset>
                </wp:positionV>
                <wp:extent cx="2266950" cy="435610"/>
                <wp:effectExtent l="0" t="0" r="1905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35610"/>
                        </a:xfrm>
                        <a:prstGeom prst="rect">
                          <a:avLst/>
                        </a:prstGeom>
                        <a:solidFill>
                          <a:srgbClr val="FFFFFF"/>
                        </a:solidFill>
                        <a:ln w="9525">
                          <a:solidFill>
                            <a:srgbClr val="000000"/>
                          </a:solidFill>
                          <a:miter lim="800000"/>
                          <a:headEnd/>
                          <a:tailEnd/>
                        </a:ln>
                      </wps:spPr>
                      <wps:txbx>
                        <w:txbxContent>
                          <w:p w14:paraId="11B7C484" w14:textId="77777777" w:rsidR="000331F9" w:rsidRPr="00592F54" w:rsidRDefault="000331F9" w:rsidP="00CF3B13">
                            <w:pPr>
                              <w:rPr>
                                <w:sz w:val="28"/>
                                <w:szCs w:val="28"/>
                              </w:rPr>
                            </w:pPr>
                            <w:r>
                              <w:rPr>
                                <w:b/>
                                <w:sz w:val="28"/>
                                <w:szCs w:val="28"/>
                              </w:rPr>
                              <w:t xml:space="preserve">            </w:t>
                            </w:r>
                            <w:r w:rsidRPr="00592F54">
                              <w:rPr>
                                <w:b/>
                                <w:sz w:val="28"/>
                                <w:szCs w:val="28"/>
                              </w:rPr>
                              <w:t>Appendix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D88C70" id="_x0000_t202" coordsize="21600,21600" o:spt="202" path="m,l,21600r21600,l21600,xe">
                <v:stroke joinstyle="miter"/>
                <v:path gradientshapeok="t" o:connecttype="rect"/>
              </v:shapetype>
              <v:shape id="Text Box 2" o:spid="_x0000_s1026" type="#_x0000_t202" style="position:absolute;margin-left:127.3pt;margin-top:-30.45pt;width:178.5pt;height:34.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mPKgIAAFAEAAAOAAAAZHJzL2Uyb0RvYy54bWysVNuO0zAQfUfiHyy/07ShLduo6WrpUoS0&#10;XKRdPmDiOI2F4zG222T5esZOt1QLvCDyYHk84+OZc2ayvh46zY7SeYWm5LPJlDNpBNbK7Ev+9WH3&#10;6oozH8DUoNHIkj9Kz683L1+se1vIHFvUtXSMQIwvelvyNgRbZJkXrezAT9BKQ84GXQeBTLfPagc9&#10;oXc6y6fTZdajq61DIb2n09vRyTcJv2mkCJ+bxsvAdMkpt5BWl9YqrtlmDcXegW2VOKUB/5BFB8rQ&#10;o2eoWwjADk79BtUp4dBjEyYCuwybRgmZaqBqZtNn1dy3YGWqhcjx9kyT/3+w4tPxi2OqLvmcMwMd&#10;SfQgh8De4sDyyE5vfUFB95bCwkDHpHKq1Ns7FN88M7htwezljXPYtxJqym4Wb2YXV0ccH0Gq/iPW&#10;9AwcAiagoXFdpI7IYIROKj2elYmpCDrM8+VytSCXIN/89WI5S9JlUDzdts6H9xI7Fjcld6R8Qofj&#10;nQ8xGyieQuJjHrWqd0rrZLh9tdWOHYG6ZJe+VMCzMG1YX/LVIl+MBPwVYpq+P0F0KlC7a9WV/Ooc&#10;BEWk7Z2pUzMGUHrcU8ranHiM1I0khqEaTrpUWD8Sow7HtqYxpE2L7gdnPbV0yf33AzjJmf5gSJXV&#10;bD6PM5CM+eJNToa79FSXHjCCoEoeOBu32zDOzcE6tW/ppbEPDN6Qko1KJEfJx6xOeVPbJu5PIxbn&#10;4tJOUb9+BJufAAAA//8DAFBLAwQUAAYACAAAACEAyNEk+t0AAAAGAQAADwAAAGRycy9kb3ducmV2&#10;LnhtbEyPzU7DMBCE70i8g7VIXFDrQCFpQzYVQgLRGxQEVzfeJhH+CbabhrdnOcFxZ0Yz31bryRox&#10;Uoi9dwiX8wwEucbr3rUIb68PsyWImJTTynhHCN8UYV2fnlSq1P7oXmjcplZwiYulQuhSGkopY9OR&#10;VXHuB3Ls7X2wKvEZWqmDOnK5NfIqy3JpVe94oVMD3XfUfG4PFmF5/TR+xM3i+b3J92aVLorx8Ssg&#10;np9Nd7cgEk3pLwy/+IwONTPt/MHpKAwCP5IQZnm2AsH24qZgZYdQFCDrSv7Hr38AAAD//wMAUEsB&#10;Ai0AFAAGAAgAAAAhALaDOJL+AAAA4QEAABMAAAAAAAAAAAAAAAAAAAAAAFtDb250ZW50X1R5cGVz&#10;XS54bWxQSwECLQAUAAYACAAAACEAOP0h/9YAAACUAQAACwAAAAAAAAAAAAAAAAAvAQAAX3JlbHMv&#10;LnJlbHNQSwECLQAUAAYACAAAACEAMdTpjyoCAABQBAAADgAAAAAAAAAAAAAAAAAuAgAAZHJzL2Uy&#10;b0RvYy54bWxQSwECLQAUAAYACAAAACEAyNEk+t0AAAAGAQAADwAAAAAAAAAAAAAAAACEBAAAZHJz&#10;L2Rvd25yZXYueG1sUEsFBgAAAAAEAAQA8wAAAI4FAAAAAA==&#10;">
                <v:textbox>
                  <w:txbxContent>
                    <w:p w14:paraId="11B7C484" w14:textId="77777777" w:rsidR="000331F9" w:rsidRPr="00592F54" w:rsidRDefault="000331F9" w:rsidP="00CF3B13">
                      <w:pPr>
                        <w:rPr>
                          <w:sz w:val="28"/>
                          <w:szCs w:val="28"/>
                        </w:rPr>
                      </w:pPr>
                      <w:r>
                        <w:rPr>
                          <w:b/>
                          <w:sz w:val="28"/>
                          <w:szCs w:val="28"/>
                        </w:rPr>
                        <w:t xml:space="preserve">            </w:t>
                      </w:r>
                      <w:r w:rsidRPr="00592F54">
                        <w:rPr>
                          <w:b/>
                          <w:sz w:val="28"/>
                          <w:szCs w:val="28"/>
                        </w:rPr>
                        <w:t>Appendix A</w:t>
                      </w:r>
                    </w:p>
                  </w:txbxContent>
                </v:textbox>
                <w10:wrap anchorx="margin"/>
              </v:shape>
            </w:pict>
          </mc:Fallback>
        </mc:AlternateContent>
      </w:r>
    </w:p>
    <w:p w14:paraId="7EC1222D" w14:textId="2E9E2956" w:rsidR="00AB2052" w:rsidRPr="008337AA" w:rsidRDefault="00D76BC1" w:rsidP="008337AA">
      <w:pPr>
        <w:jc w:val="both"/>
        <w:rPr>
          <w:rFonts w:cs="Arial"/>
          <w:b/>
          <w:sz w:val="28"/>
          <w:szCs w:val="28"/>
        </w:rPr>
      </w:pPr>
      <w:r w:rsidRPr="008337AA">
        <w:rPr>
          <w:rFonts w:cs="Arial"/>
          <w:b/>
          <w:sz w:val="28"/>
          <w:szCs w:val="28"/>
        </w:rPr>
        <w:t>T</w:t>
      </w:r>
      <w:r w:rsidR="00F96523" w:rsidRPr="008337AA">
        <w:rPr>
          <w:rFonts w:cs="Arial"/>
          <w:b/>
          <w:sz w:val="28"/>
          <w:szCs w:val="28"/>
        </w:rPr>
        <w:t xml:space="preserve">reasury </w:t>
      </w:r>
      <w:r w:rsidRPr="008337AA">
        <w:rPr>
          <w:rFonts w:cs="Arial"/>
          <w:b/>
          <w:sz w:val="28"/>
          <w:szCs w:val="28"/>
        </w:rPr>
        <w:t>M</w:t>
      </w:r>
      <w:r w:rsidR="00F96523" w:rsidRPr="008337AA">
        <w:rPr>
          <w:rFonts w:cs="Arial"/>
          <w:b/>
          <w:sz w:val="28"/>
          <w:szCs w:val="28"/>
        </w:rPr>
        <w:t>anagement</w:t>
      </w:r>
      <w:r w:rsidRPr="008337AA">
        <w:rPr>
          <w:rFonts w:cs="Arial"/>
          <w:b/>
          <w:sz w:val="28"/>
          <w:szCs w:val="28"/>
        </w:rPr>
        <w:t xml:space="preserve"> Activity </w:t>
      </w:r>
      <w:r w:rsidR="008812B8">
        <w:rPr>
          <w:rFonts w:cs="Arial"/>
          <w:b/>
          <w:sz w:val="28"/>
          <w:szCs w:val="28"/>
        </w:rPr>
        <w:t>2</w:t>
      </w:r>
      <w:r w:rsidR="008812B8" w:rsidRPr="008812B8">
        <w:rPr>
          <w:rFonts w:cs="Arial"/>
          <w:b/>
          <w:sz w:val="28"/>
          <w:szCs w:val="28"/>
          <w:vertAlign w:val="superscript"/>
        </w:rPr>
        <w:t>nd</w:t>
      </w:r>
      <w:r w:rsidR="008812B8">
        <w:rPr>
          <w:rFonts w:cs="Arial"/>
          <w:b/>
          <w:sz w:val="28"/>
          <w:szCs w:val="28"/>
        </w:rPr>
        <w:t xml:space="preserve"> </w:t>
      </w:r>
      <w:r w:rsidRPr="008337AA">
        <w:rPr>
          <w:rFonts w:cs="Arial"/>
          <w:b/>
          <w:sz w:val="28"/>
          <w:szCs w:val="28"/>
        </w:rPr>
        <w:t xml:space="preserve">Report </w:t>
      </w:r>
      <w:r w:rsidR="00AD3E3C" w:rsidRPr="008337AA">
        <w:rPr>
          <w:rFonts w:cs="Arial"/>
          <w:b/>
          <w:sz w:val="28"/>
          <w:szCs w:val="28"/>
        </w:rPr>
        <w:t>201</w:t>
      </w:r>
      <w:r w:rsidR="000C7EB1" w:rsidRPr="008337AA">
        <w:rPr>
          <w:rFonts w:cs="Arial"/>
          <w:b/>
          <w:sz w:val="28"/>
          <w:szCs w:val="28"/>
        </w:rPr>
        <w:t>5-16</w:t>
      </w:r>
    </w:p>
    <w:p w14:paraId="52490B4A" w14:textId="77777777" w:rsidR="000D2521" w:rsidRPr="008337AA" w:rsidRDefault="000D2521" w:rsidP="008337AA">
      <w:pPr>
        <w:pStyle w:val="ListParagraph"/>
        <w:ind w:left="0"/>
        <w:jc w:val="both"/>
        <w:rPr>
          <w:rFonts w:cs="Arial"/>
          <w:b/>
          <w:szCs w:val="24"/>
        </w:rPr>
      </w:pPr>
    </w:p>
    <w:p w14:paraId="5742F02C" w14:textId="77777777" w:rsidR="00BE75C4" w:rsidRPr="008812B8" w:rsidRDefault="00BE75C4" w:rsidP="00BF215C">
      <w:pPr>
        <w:pStyle w:val="ListParagraph"/>
        <w:numPr>
          <w:ilvl w:val="0"/>
          <w:numId w:val="13"/>
        </w:numPr>
        <w:spacing w:line="240" w:lineRule="auto"/>
        <w:jc w:val="both"/>
        <w:rPr>
          <w:rFonts w:cs="Arial"/>
          <w:b/>
          <w:szCs w:val="24"/>
        </w:rPr>
      </w:pPr>
      <w:r w:rsidRPr="008812B8">
        <w:rPr>
          <w:rFonts w:cs="Arial"/>
          <w:b/>
          <w:szCs w:val="24"/>
        </w:rPr>
        <w:t>Background</w:t>
      </w:r>
    </w:p>
    <w:p w14:paraId="3E049D1A" w14:textId="77777777" w:rsidR="00861569" w:rsidRPr="008812B8" w:rsidRDefault="00861569" w:rsidP="00BF215C">
      <w:pPr>
        <w:ind w:right="96"/>
        <w:jc w:val="both"/>
        <w:rPr>
          <w:rFonts w:cs="Arial"/>
          <w:szCs w:val="24"/>
        </w:rPr>
      </w:pPr>
      <w:r w:rsidRPr="008812B8">
        <w:rPr>
          <w:rFonts w:cs="Arial"/>
          <w:szCs w:val="24"/>
        </w:rPr>
        <w:t xml:space="preserve">The County Council’s </w:t>
      </w:r>
      <w:r w:rsidR="00BE38D9" w:rsidRPr="008812B8">
        <w:rPr>
          <w:rFonts w:cs="Arial"/>
          <w:szCs w:val="24"/>
        </w:rPr>
        <w:t>T</w:t>
      </w:r>
      <w:r w:rsidRPr="008812B8">
        <w:rPr>
          <w:rFonts w:cs="Arial"/>
          <w:szCs w:val="24"/>
        </w:rPr>
        <w:t xml:space="preserve">reasury </w:t>
      </w:r>
      <w:r w:rsidR="00BE38D9" w:rsidRPr="008812B8">
        <w:rPr>
          <w:rFonts w:cs="Arial"/>
          <w:szCs w:val="24"/>
        </w:rPr>
        <w:t>M</w:t>
      </w:r>
      <w:r w:rsidRPr="008812B8">
        <w:rPr>
          <w:rFonts w:cs="Arial"/>
          <w:szCs w:val="24"/>
        </w:rPr>
        <w:t xml:space="preserve">anagement activity is underpinned by CIPFA’s Code of Practice on Treasury Management (“the Code”), which requires authorities to produce annually Prudential Indicators and a Treasury Management Strategy Statement on the likely financing and investment activity. The Code also recommends that members are informed of treasury management activities at least twice a year. </w:t>
      </w:r>
    </w:p>
    <w:p w14:paraId="520BD579" w14:textId="77777777" w:rsidR="00BE75C4" w:rsidRPr="008812B8" w:rsidRDefault="00BE75C4" w:rsidP="00BF215C">
      <w:pPr>
        <w:ind w:right="96"/>
        <w:jc w:val="both"/>
        <w:rPr>
          <w:rFonts w:cs="Arial"/>
          <w:szCs w:val="24"/>
        </w:rPr>
      </w:pPr>
    </w:p>
    <w:p w14:paraId="2B09536E" w14:textId="3B473A26" w:rsidR="00BE75C4" w:rsidRPr="008812B8" w:rsidRDefault="00BE75C4" w:rsidP="008337AA">
      <w:pPr>
        <w:jc w:val="both"/>
        <w:rPr>
          <w:rFonts w:cs="Arial"/>
          <w:szCs w:val="24"/>
        </w:rPr>
      </w:pPr>
      <w:r w:rsidRPr="008812B8">
        <w:rPr>
          <w:rFonts w:cs="Arial"/>
          <w:szCs w:val="24"/>
        </w:rPr>
        <w:t>This r</w:t>
      </w:r>
      <w:r w:rsidR="00AE2AD0" w:rsidRPr="008812B8">
        <w:rPr>
          <w:rFonts w:cs="Arial"/>
          <w:szCs w:val="24"/>
        </w:rPr>
        <w:t xml:space="preserve">eport considers treasury management activity </w:t>
      </w:r>
      <w:r w:rsidR="005C5BB1" w:rsidRPr="008812B8">
        <w:rPr>
          <w:rFonts w:cs="Arial"/>
          <w:szCs w:val="24"/>
        </w:rPr>
        <w:t xml:space="preserve">between </w:t>
      </w:r>
      <w:r w:rsidR="00A70459" w:rsidRPr="008812B8">
        <w:rPr>
          <w:rFonts w:cs="Arial"/>
          <w:szCs w:val="24"/>
        </w:rPr>
        <w:t>1</w:t>
      </w:r>
      <w:r w:rsidR="00A70459" w:rsidRPr="008812B8">
        <w:rPr>
          <w:rFonts w:cs="Arial"/>
          <w:szCs w:val="24"/>
          <w:vertAlign w:val="superscript"/>
        </w:rPr>
        <w:t>st</w:t>
      </w:r>
      <w:r w:rsidR="00A70459" w:rsidRPr="008812B8">
        <w:rPr>
          <w:rFonts w:cs="Arial"/>
          <w:szCs w:val="24"/>
        </w:rPr>
        <w:t xml:space="preserve"> </w:t>
      </w:r>
      <w:r w:rsidR="000C7EB1" w:rsidRPr="008812B8">
        <w:rPr>
          <w:rFonts w:cs="Arial"/>
          <w:szCs w:val="24"/>
        </w:rPr>
        <w:t>A</w:t>
      </w:r>
      <w:r w:rsidR="008812B8" w:rsidRPr="008812B8">
        <w:rPr>
          <w:rFonts w:cs="Arial"/>
          <w:szCs w:val="24"/>
        </w:rPr>
        <w:t>ugust</w:t>
      </w:r>
      <w:r w:rsidR="00DE43B5" w:rsidRPr="008812B8">
        <w:rPr>
          <w:rFonts w:cs="Arial"/>
          <w:szCs w:val="24"/>
        </w:rPr>
        <w:t xml:space="preserve"> 2015</w:t>
      </w:r>
      <w:r w:rsidR="000C7EB1" w:rsidRPr="008812B8">
        <w:rPr>
          <w:rFonts w:cs="Arial"/>
          <w:szCs w:val="24"/>
        </w:rPr>
        <w:t xml:space="preserve"> </w:t>
      </w:r>
      <w:r w:rsidR="00597625" w:rsidRPr="008812B8">
        <w:rPr>
          <w:rFonts w:cs="Arial"/>
          <w:szCs w:val="24"/>
        </w:rPr>
        <w:t xml:space="preserve">and </w:t>
      </w:r>
      <w:r w:rsidR="008812B8" w:rsidRPr="008812B8">
        <w:rPr>
          <w:rFonts w:cs="Arial"/>
          <w:szCs w:val="24"/>
        </w:rPr>
        <w:t>30</w:t>
      </w:r>
      <w:r w:rsidR="008812B8" w:rsidRPr="008812B8">
        <w:rPr>
          <w:rFonts w:cs="Arial"/>
          <w:szCs w:val="24"/>
          <w:vertAlign w:val="superscript"/>
        </w:rPr>
        <w:t>th</w:t>
      </w:r>
      <w:r w:rsidR="008812B8" w:rsidRPr="008812B8">
        <w:rPr>
          <w:rFonts w:cs="Arial"/>
          <w:szCs w:val="24"/>
        </w:rPr>
        <w:t xml:space="preserve"> November</w:t>
      </w:r>
      <w:r w:rsidR="00DE7585" w:rsidRPr="008812B8">
        <w:rPr>
          <w:rFonts w:cs="Arial"/>
          <w:szCs w:val="24"/>
        </w:rPr>
        <w:t xml:space="preserve"> </w:t>
      </w:r>
      <w:r w:rsidR="00AD3E3C" w:rsidRPr="008812B8">
        <w:rPr>
          <w:rFonts w:cs="Arial"/>
          <w:szCs w:val="24"/>
        </w:rPr>
        <w:t>201</w:t>
      </w:r>
      <w:r w:rsidR="000C7EB1" w:rsidRPr="008812B8">
        <w:rPr>
          <w:rFonts w:cs="Arial"/>
          <w:szCs w:val="24"/>
        </w:rPr>
        <w:t>5</w:t>
      </w:r>
      <w:r w:rsidR="005C5BB1" w:rsidRPr="008812B8">
        <w:rPr>
          <w:rFonts w:cs="Arial"/>
          <w:szCs w:val="24"/>
        </w:rPr>
        <w:t>.</w:t>
      </w:r>
    </w:p>
    <w:p w14:paraId="1FD27FF3" w14:textId="77777777" w:rsidR="007828C9" w:rsidRPr="008812B8" w:rsidRDefault="007828C9" w:rsidP="008337AA">
      <w:pPr>
        <w:jc w:val="both"/>
        <w:rPr>
          <w:rFonts w:cs="Arial"/>
          <w:b/>
          <w:szCs w:val="24"/>
          <w:highlight w:val="yellow"/>
        </w:rPr>
      </w:pPr>
    </w:p>
    <w:p w14:paraId="698350B6" w14:textId="77777777" w:rsidR="00650C2F" w:rsidRPr="00505D01" w:rsidRDefault="0077384F" w:rsidP="008337AA">
      <w:pPr>
        <w:pStyle w:val="ListParagraph"/>
        <w:numPr>
          <w:ilvl w:val="0"/>
          <w:numId w:val="13"/>
        </w:numPr>
        <w:spacing w:line="240" w:lineRule="auto"/>
        <w:jc w:val="both"/>
        <w:rPr>
          <w:rFonts w:cs="Arial"/>
          <w:b/>
          <w:szCs w:val="24"/>
        </w:rPr>
      </w:pPr>
      <w:r w:rsidRPr="00505D01">
        <w:rPr>
          <w:rFonts w:cs="Arial"/>
          <w:b/>
          <w:szCs w:val="24"/>
        </w:rPr>
        <w:t xml:space="preserve">Economic </w:t>
      </w:r>
      <w:r w:rsidR="00DE43B5" w:rsidRPr="00505D01">
        <w:rPr>
          <w:rFonts w:cs="Arial"/>
          <w:b/>
          <w:szCs w:val="24"/>
        </w:rPr>
        <w:t>Context in the period</w:t>
      </w:r>
    </w:p>
    <w:p w14:paraId="679BFBA3" w14:textId="77777777" w:rsidR="00505D01" w:rsidRDefault="00505D01" w:rsidP="00505D01">
      <w:pPr>
        <w:pStyle w:val="ListParagraph"/>
        <w:spacing w:line="240" w:lineRule="auto"/>
        <w:ind w:left="360"/>
        <w:jc w:val="both"/>
        <w:rPr>
          <w:rFonts w:cs="Arial"/>
          <w:b/>
          <w:szCs w:val="24"/>
          <w:highlight w:val="green"/>
        </w:rPr>
      </w:pPr>
    </w:p>
    <w:p w14:paraId="330EFC81" w14:textId="77777777" w:rsidR="00505D01" w:rsidRPr="003C3D59" w:rsidRDefault="00505D01" w:rsidP="00505D01">
      <w:pPr>
        <w:pStyle w:val="ListParagraph"/>
        <w:ind w:left="0"/>
        <w:contextualSpacing w:val="0"/>
        <w:jc w:val="both"/>
        <w:rPr>
          <w:rFonts w:cs="Arial"/>
          <w:szCs w:val="24"/>
        </w:rPr>
      </w:pPr>
      <w:r w:rsidRPr="003C3D59">
        <w:rPr>
          <w:rFonts w:cs="Arial"/>
          <w:szCs w:val="24"/>
        </w:rPr>
        <w:t>Domestic demand has grown robustly, supported by sustained real income growth and a gradual decline in private sector savings.  Low oil and commodity prices contributed to annual CPI inflation falling to 0.1% in October.  Wages are growing at 3% a year, and the unemployment rate has dropped to 5.4%.  Mortgage approvals have risen to over 70,000 a month and annual house price growth is around 3.5%.  These factors have boosted consumer confidence, helping to underpin retail spending and hence GDP growth, which was an encouraging 2.3% a year in the third quarter of 2015. Although speeches by the Bank of England’s Monetary Policy Committee (MPC) members sent signals that some were willing to countenance higher interest rates, the MPC held policy rates at 0.5% for the 81st consecutive month at its meeting in November 2015. Quantitative easing (QE) has been maintained at £375bn since July 2012.</w:t>
      </w:r>
    </w:p>
    <w:p w14:paraId="1243AFD4" w14:textId="0548E732" w:rsidR="00505D01" w:rsidRPr="00505D01" w:rsidRDefault="00505D01" w:rsidP="00600C38">
      <w:pPr>
        <w:pStyle w:val="ListParagraph"/>
        <w:ind w:left="0"/>
        <w:contextualSpacing w:val="0"/>
        <w:jc w:val="both"/>
        <w:rPr>
          <w:rFonts w:cs="Arial"/>
          <w:b/>
          <w:szCs w:val="24"/>
          <w:highlight w:val="green"/>
        </w:rPr>
      </w:pPr>
      <w:r>
        <w:rPr>
          <w:rFonts w:cs="Arial"/>
          <w:szCs w:val="24"/>
        </w:rPr>
        <w:t xml:space="preserve">In international markets </w:t>
      </w:r>
      <w:r w:rsidRPr="003C3D59">
        <w:rPr>
          <w:rFonts w:cs="Arial"/>
          <w:szCs w:val="24"/>
        </w:rPr>
        <w:t xml:space="preserve">China's growth has slowed and its economy is performing </w:t>
      </w:r>
      <w:proofErr w:type="gramStart"/>
      <w:r w:rsidRPr="003C3D59">
        <w:rPr>
          <w:rFonts w:cs="Arial"/>
          <w:szCs w:val="24"/>
        </w:rPr>
        <w:t>below</w:t>
      </w:r>
      <w:proofErr w:type="gramEnd"/>
      <w:r w:rsidRPr="003C3D59">
        <w:rPr>
          <w:rFonts w:cs="Arial"/>
          <w:szCs w:val="24"/>
        </w:rPr>
        <w:t xml:space="preserve"> expectations, reducing global demand for commodities and contributing to emerging market weakness. US domestic growth has accelerated but the globally sensitive sectors of the US economy have slowed. Strong US labour market data and other economic indicators however suggest recent global turbulence has not knocked the American recovery off course. The Federal Reserve did not raise policy rates at its meetings in October and November, but the statements accompanying the policy decisions point have made a rate hike in December 2015 a real possibility. In contrast, the European Central Bank finally embarked on QE in 2015 to counter the perils of deflation.</w:t>
      </w:r>
    </w:p>
    <w:p w14:paraId="7D62AC65" w14:textId="77777777" w:rsidR="007828C9" w:rsidRPr="00505D01" w:rsidRDefault="00BE38D9" w:rsidP="008337AA">
      <w:pPr>
        <w:pStyle w:val="Heading2"/>
        <w:jc w:val="both"/>
        <w:rPr>
          <w:rFonts w:ascii="Arial" w:hAnsi="Arial" w:cs="Arial"/>
          <w:color w:val="auto"/>
          <w:sz w:val="24"/>
          <w:szCs w:val="24"/>
        </w:rPr>
      </w:pPr>
      <w:r w:rsidRPr="00505D01">
        <w:rPr>
          <w:rFonts w:ascii="Arial" w:hAnsi="Arial" w:cs="Arial"/>
          <w:color w:val="auto"/>
          <w:sz w:val="24"/>
          <w:szCs w:val="24"/>
        </w:rPr>
        <w:t xml:space="preserve">2.1 </w:t>
      </w:r>
      <w:r w:rsidR="00DE1885" w:rsidRPr="00505D01">
        <w:rPr>
          <w:rFonts w:ascii="Arial" w:hAnsi="Arial" w:cs="Arial"/>
          <w:color w:val="auto"/>
          <w:sz w:val="24"/>
          <w:szCs w:val="24"/>
        </w:rPr>
        <w:t>I</w:t>
      </w:r>
      <w:r w:rsidR="007828C9" w:rsidRPr="00505D01">
        <w:rPr>
          <w:rFonts w:ascii="Arial" w:hAnsi="Arial" w:cs="Arial"/>
          <w:color w:val="auto"/>
          <w:sz w:val="24"/>
          <w:szCs w:val="24"/>
        </w:rPr>
        <w:t>nterest Rate Environment</w:t>
      </w:r>
    </w:p>
    <w:p w14:paraId="4D7C9B99" w14:textId="77777777" w:rsidR="007828C9" w:rsidRPr="00375E2D" w:rsidRDefault="007828C9" w:rsidP="008337AA">
      <w:pPr>
        <w:jc w:val="both"/>
        <w:rPr>
          <w:rFonts w:cs="Arial"/>
          <w:szCs w:val="24"/>
          <w:highlight w:val="green"/>
        </w:rPr>
      </w:pPr>
    </w:p>
    <w:p w14:paraId="4491D9D8" w14:textId="77777777" w:rsidR="00600C38" w:rsidRDefault="00505D01" w:rsidP="00505D01">
      <w:pPr>
        <w:spacing w:after="200" w:line="276" w:lineRule="auto"/>
        <w:jc w:val="both"/>
        <w:rPr>
          <w:rFonts w:eastAsia="Calibri" w:cs="Arial"/>
          <w:szCs w:val="24"/>
          <w:lang w:eastAsia="en-US"/>
        </w:rPr>
      </w:pPr>
      <w:r w:rsidRPr="003C3D59">
        <w:rPr>
          <w:rFonts w:eastAsia="Calibri" w:cs="Arial"/>
          <w:szCs w:val="24"/>
          <w:lang w:eastAsia="en-US"/>
        </w:rPr>
        <w:t xml:space="preserve">The Authority’s treasury advisor </w:t>
      </w:r>
      <w:proofErr w:type="spellStart"/>
      <w:r w:rsidRPr="003C3D59">
        <w:rPr>
          <w:rFonts w:eastAsia="Calibri" w:cs="Arial"/>
          <w:szCs w:val="24"/>
          <w:lang w:eastAsia="en-US"/>
        </w:rPr>
        <w:t>Arlingclose</w:t>
      </w:r>
      <w:proofErr w:type="spellEnd"/>
      <w:r w:rsidRPr="003C3D59">
        <w:rPr>
          <w:rFonts w:eastAsia="Calibri" w:cs="Arial"/>
          <w:szCs w:val="24"/>
          <w:lang w:eastAsia="en-US"/>
        </w:rPr>
        <w:t xml:space="preserve"> projects the first 0.25% increase in UK Bank Rate in the third quarter of 2016, rising by 0.5% a year thereafter, finally settling between 2% and 3% in several years’ time. Persistently low inflation, subdued global growth and potential concerns over the UK’s position in Europe mean that the risks to this forecast are weighted towards the downside.</w:t>
      </w:r>
    </w:p>
    <w:p w14:paraId="3FC00C5B" w14:textId="18F09F82" w:rsidR="00C110EE" w:rsidRPr="00375E2D" w:rsidRDefault="00505D01" w:rsidP="00600C38">
      <w:pPr>
        <w:spacing w:after="200" w:line="276" w:lineRule="auto"/>
        <w:jc w:val="both"/>
        <w:rPr>
          <w:rFonts w:cs="Arial"/>
          <w:szCs w:val="24"/>
          <w:highlight w:val="green"/>
        </w:rPr>
      </w:pPr>
      <w:r w:rsidRPr="003C3D59">
        <w:rPr>
          <w:rFonts w:eastAsia="Calibri" w:cs="Arial"/>
          <w:szCs w:val="24"/>
          <w:lang w:eastAsia="en-US"/>
        </w:rPr>
        <w:lastRenderedPageBreak/>
        <w:t xml:space="preserve">A shallow upward path for medium term gilt yields is forecast, as continuing concerns about the Eurozone, emerging markets and other geo-political events weigh on risk appetite, while inflation expectations remain subdued. </w:t>
      </w:r>
      <w:proofErr w:type="spellStart"/>
      <w:r w:rsidRPr="003C3D59">
        <w:rPr>
          <w:rFonts w:eastAsia="Calibri" w:cs="Arial"/>
          <w:szCs w:val="24"/>
          <w:lang w:eastAsia="en-US"/>
        </w:rPr>
        <w:t>Arlingclose</w:t>
      </w:r>
      <w:proofErr w:type="spellEnd"/>
      <w:r w:rsidRPr="003C3D59">
        <w:rPr>
          <w:rFonts w:eastAsia="Calibri" w:cs="Arial"/>
          <w:szCs w:val="24"/>
          <w:lang w:eastAsia="en-US"/>
        </w:rPr>
        <w:t xml:space="preserve"> projects the 10 year gilt yield to rise from its current 2.0% level by around 0.3% a year. The uncertainties surrounding the timing of UK and US interest rate rises are likely to prompt short-term volatility in gilt yields.</w:t>
      </w:r>
    </w:p>
    <w:p w14:paraId="45A6DF0B" w14:textId="77777777" w:rsidR="009D726B" w:rsidRPr="00505D01" w:rsidRDefault="00BE38D9" w:rsidP="00931724">
      <w:pPr>
        <w:jc w:val="both"/>
        <w:rPr>
          <w:rFonts w:cs="Arial"/>
          <w:b/>
          <w:szCs w:val="24"/>
        </w:rPr>
      </w:pPr>
      <w:r w:rsidRPr="00505D01">
        <w:rPr>
          <w:rFonts w:cs="Arial"/>
          <w:b/>
          <w:szCs w:val="24"/>
        </w:rPr>
        <w:t xml:space="preserve">2.2 </w:t>
      </w:r>
      <w:r w:rsidR="004F52C8" w:rsidRPr="00505D01">
        <w:rPr>
          <w:rFonts w:cs="Arial"/>
          <w:b/>
          <w:szCs w:val="24"/>
        </w:rPr>
        <w:t>Implications for Lancashire County Council Treasury Strategy</w:t>
      </w:r>
    </w:p>
    <w:p w14:paraId="2DC776A0" w14:textId="77777777" w:rsidR="004F52C8" w:rsidRPr="00505D01" w:rsidRDefault="004F52C8" w:rsidP="00931724">
      <w:pPr>
        <w:jc w:val="both"/>
        <w:rPr>
          <w:rFonts w:cs="Arial"/>
          <w:b/>
          <w:szCs w:val="24"/>
        </w:rPr>
      </w:pPr>
    </w:p>
    <w:p w14:paraId="581E927E" w14:textId="77777777" w:rsidR="00C36F0F" w:rsidRPr="00505D01" w:rsidRDefault="004F52C8" w:rsidP="00931724">
      <w:pPr>
        <w:pStyle w:val="ListParagraph"/>
        <w:spacing w:after="0" w:line="240" w:lineRule="auto"/>
        <w:ind w:left="0"/>
        <w:jc w:val="both"/>
        <w:rPr>
          <w:rFonts w:cs="Arial"/>
          <w:szCs w:val="24"/>
        </w:rPr>
      </w:pPr>
      <w:r w:rsidRPr="00505D01">
        <w:rPr>
          <w:rFonts w:cs="Arial"/>
          <w:szCs w:val="24"/>
        </w:rPr>
        <w:t xml:space="preserve">Since 2010 the County Council have used short term market borrowing to fund capital expenditure so taking advantage of historically low interest rates. </w:t>
      </w:r>
      <w:r w:rsidR="00575736" w:rsidRPr="00505D01">
        <w:rPr>
          <w:rFonts w:cs="Arial"/>
          <w:szCs w:val="24"/>
        </w:rPr>
        <w:t xml:space="preserve">This policy has proved to be very effective in an environment where rates have stayed low for much longer than expected and continue to do so. </w:t>
      </w:r>
      <w:r w:rsidRPr="00505D01">
        <w:rPr>
          <w:rFonts w:cs="Arial"/>
          <w:szCs w:val="24"/>
        </w:rPr>
        <w:t xml:space="preserve">Prospects for interest rate increases are continuously monitored and </w:t>
      </w:r>
      <w:r w:rsidR="00C36F0F" w:rsidRPr="00505D01">
        <w:rPr>
          <w:rFonts w:cs="Arial"/>
          <w:szCs w:val="24"/>
        </w:rPr>
        <w:t xml:space="preserve">flexible </w:t>
      </w:r>
      <w:r w:rsidR="00DF2986" w:rsidRPr="00505D01">
        <w:rPr>
          <w:rFonts w:cs="Arial"/>
          <w:szCs w:val="24"/>
        </w:rPr>
        <w:t>arrangements are maintained to</w:t>
      </w:r>
      <w:r w:rsidR="00C36F0F" w:rsidRPr="00505D01">
        <w:rPr>
          <w:rFonts w:cs="Arial"/>
          <w:szCs w:val="24"/>
        </w:rPr>
        <w:t xml:space="preserve"> </w:t>
      </w:r>
      <w:r w:rsidR="00575736" w:rsidRPr="00505D01">
        <w:rPr>
          <w:rFonts w:cs="Arial"/>
          <w:szCs w:val="24"/>
        </w:rPr>
        <w:t xml:space="preserve">enable the Council to </w:t>
      </w:r>
      <w:r w:rsidR="00C36F0F" w:rsidRPr="00505D01">
        <w:rPr>
          <w:rFonts w:cs="Arial"/>
          <w:szCs w:val="24"/>
        </w:rPr>
        <w:t>react in good time should the path of interest rate forecasts change.</w:t>
      </w:r>
    </w:p>
    <w:p w14:paraId="27E6D8B9" w14:textId="77777777" w:rsidR="00BE38D9" w:rsidRPr="00505D01" w:rsidRDefault="00BE38D9" w:rsidP="00931724">
      <w:pPr>
        <w:jc w:val="both"/>
        <w:rPr>
          <w:rFonts w:cs="Arial"/>
          <w:szCs w:val="24"/>
        </w:rPr>
      </w:pPr>
    </w:p>
    <w:p w14:paraId="5E14E8BA" w14:textId="77777777" w:rsidR="00A732FD" w:rsidRPr="008812B8" w:rsidRDefault="00BE38D9" w:rsidP="00931724">
      <w:pPr>
        <w:pStyle w:val="ListParagraph"/>
        <w:ind w:left="0"/>
        <w:jc w:val="both"/>
        <w:rPr>
          <w:rFonts w:cs="Arial"/>
          <w:b/>
          <w:szCs w:val="24"/>
        </w:rPr>
      </w:pPr>
      <w:r w:rsidRPr="008812B8">
        <w:rPr>
          <w:rFonts w:cs="Arial"/>
          <w:b/>
          <w:szCs w:val="24"/>
        </w:rPr>
        <w:t xml:space="preserve">3. </w:t>
      </w:r>
      <w:r w:rsidR="00A732FD" w:rsidRPr="008812B8">
        <w:rPr>
          <w:rFonts w:cs="Arial"/>
          <w:b/>
          <w:szCs w:val="24"/>
        </w:rPr>
        <w:t>Current Treasury</w:t>
      </w:r>
      <w:r w:rsidR="00180500" w:rsidRPr="008812B8">
        <w:rPr>
          <w:rFonts w:cs="Arial"/>
          <w:b/>
          <w:szCs w:val="24"/>
        </w:rPr>
        <w:t xml:space="preserve"> Management</w:t>
      </w:r>
      <w:r w:rsidR="00A732FD" w:rsidRPr="008812B8">
        <w:rPr>
          <w:rFonts w:cs="Arial"/>
          <w:b/>
          <w:szCs w:val="24"/>
        </w:rPr>
        <w:t xml:space="preserve"> Policy</w:t>
      </w:r>
    </w:p>
    <w:p w14:paraId="63311843" w14:textId="77777777" w:rsidR="007B75FD" w:rsidRPr="008812B8" w:rsidRDefault="00DC602A" w:rsidP="00931724">
      <w:pPr>
        <w:jc w:val="both"/>
        <w:rPr>
          <w:rFonts w:cs="Arial"/>
          <w:szCs w:val="24"/>
          <w:lang w:eastAsia="en-US"/>
        </w:rPr>
      </w:pPr>
      <w:r w:rsidRPr="008812B8">
        <w:rPr>
          <w:rFonts w:cs="Arial"/>
          <w:szCs w:val="24"/>
        </w:rPr>
        <w:t>Full Council approved the 201</w:t>
      </w:r>
      <w:r w:rsidR="00C75399" w:rsidRPr="008812B8">
        <w:rPr>
          <w:rFonts w:cs="Arial"/>
          <w:szCs w:val="24"/>
        </w:rPr>
        <w:t>5/16</w:t>
      </w:r>
      <w:r w:rsidR="00A70459" w:rsidRPr="008812B8">
        <w:rPr>
          <w:rFonts w:cs="Arial"/>
          <w:szCs w:val="24"/>
        </w:rPr>
        <w:t xml:space="preserve"> treasury management strategy at its meeting on </w:t>
      </w:r>
      <w:r w:rsidR="00770B4E" w:rsidRPr="008812B8">
        <w:rPr>
          <w:rFonts w:cs="Arial"/>
          <w:szCs w:val="24"/>
          <w:lang w:eastAsia="en-US"/>
        </w:rPr>
        <w:t>12</w:t>
      </w:r>
      <w:r w:rsidR="00770B4E" w:rsidRPr="008812B8">
        <w:rPr>
          <w:rFonts w:cs="Arial"/>
          <w:szCs w:val="24"/>
          <w:vertAlign w:val="superscript"/>
          <w:lang w:eastAsia="en-US"/>
        </w:rPr>
        <w:t>th</w:t>
      </w:r>
      <w:r w:rsidR="00770B4E" w:rsidRPr="008812B8">
        <w:rPr>
          <w:rFonts w:cs="Arial"/>
          <w:b/>
          <w:i/>
          <w:color w:val="FF0000"/>
          <w:szCs w:val="24"/>
          <w:lang w:eastAsia="en-US"/>
        </w:rPr>
        <w:t xml:space="preserve"> </w:t>
      </w:r>
      <w:r w:rsidR="00A70459" w:rsidRPr="008812B8">
        <w:rPr>
          <w:rFonts w:cs="Arial"/>
          <w:szCs w:val="24"/>
          <w:lang w:eastAsia="en-US"/>
        </w:rPr>
        <w:t>February 201</w:t>
      </w:r>
      <w:r w:rsidR="00C75399" w:rsidRPr="008812B8">
        <w:rPr>
          <w:rFonts w:cs="Arial"/>
          <w:szCs w:val="24"/>
          <w:lang w:eastAsia="en-US"/>
        </w:rPr>
        <w:t>5</w:t>
      </w:r>
      <w:r w:rsidR="00A70459" w:rsidRPr="008812B8">
        <w:rPr>
          <w:rFonts w:cs="Arial"/>
          <w:szCs w:val="24"/>
          <w:lang w:eastAsia="en-US"/>
        </w:rPr>
        <w:t xml:space="preserve">.  The </w:t>
      </w:r>
      <w:r w:rsidR="00BE38D9" w:rsidRPr="008812B8">
        <w:rPr>
          <w:rFonts w:cs="Arial"/>
          <w:szCs w:val="24"/>
          <w:lang w:eastAsia="en-US"/>
        </w:rPr>
        <w:t xml:space="preserve">County </w:t>
      </w:r>
      <w:r w:rsidR="00A70459" w:rsidRPr="008812B8">
        <w:rPr>
          <w:rFonts w:cs="Arial"/>
          <w:szCs w:val="24"/>
          <w:lang w:eastAsia="en-US"/>
        </w:rPr>
        <w:t xml:space="preserve">Council’s stated </w:t>
      </w:r>
      <w:r w:rsidR="007B75FD" w:rsidRPr="008812B8">
        <w:rPr>
          <w:rFonts w:cs="Arial"/>
          <w:szCs w:val="24"/>
          <w:lang w:eastAsia="en-US"/>
        </w:rPr>
        <w:t>Treasury Management objectives are:</w:t>
      </w:r>
    </w:p>
    <w:p w14:paraId="6D7CA35F" w14:textId="77777777" w:rsidR="007B75FD" w:rsidRPr="008812B8" w:rsidRDefault="007B75FD" w:rsidP="00931724">
      <w:pPr>
        <w:jc w:val="both"/>
        <w:rPr>
          <w:rFonts w:cs="Arial"/>
          <w:szCs w:val="24"/>
          <w:lang w:eastAsia="en-US"/>
        </w:rPr>
      </w:pPr>
    </w:p>
    <w:p w14:paraId="619455F7" w14:textId="77777777" w:rsidR="007B75FD" w:rsidRPr="008812B8" w:rsidRDefault="007B75FD" w:rsidP="00931724">
      <w:pPr>
        <w:ind w:left="426" w:hanging="426"/>
        <w:jc w:val="both"/>
        <w:rPr>
          <w:rFonts w:cs="Arial"/>
          <w:szCs w:val="24"/>
          <w:lang w:eastAsia="en-US"/>
        </w:rPr>
      </w:pPr>
      <w:r w:rsidRPr="008812B8">
        <w:rPr>
          <w:rFonts w:cs="Arial"/>
          <w:szCs w:val="24"/>
          <w:lang w:eastAsia="en-US"/>
        </w:rPr>
        <w:t>a)</w:t>
      </w:r>
      <w:r w:rsidRPr="008812B8">
        <w:rPr>
          <w:rFonts w:cs="Arial"/>
          <w:szCs w:val="24"/>
          <w:lang w:eastAsia="en-US"/>
        </w:rPr>
        <w:tab/>
        <w:t xml:space="preserve">To ensure the security of the principal sums invested which represent the </w:t>
      </w:r>
      <w:r w:rsidR="00644542" w:rsidRPr="008812B8">
        <w:rPr>
          <w:rFonts w:cs="Arial"/>
          <w:szCs w:val="24"/>
          <w:lang w:eastAsia="en-US"/>
        </w:rPr>
        <w:t>C</w:t>
      </w:r>
      <w:r w:rsidRPr="008812B8">
        <w:rPr>
          <w:rFonts w:cs="Arial"/>
          <w:szCs w:val="24"/>
          <w:lang w:eastAsia="en-US"/>
        </w:rPr>
        <w:t xml:space="preserve">ounty </w:t>
      </w:r>
      <w:r w:rsidR="00644542" w:rsidRPr="008812B8">
        <w:rPr>
          <w:rFonts w:cs="Arial"/>
          <w:szCs w:val="24"/>
          <w:lang w:eastAsia="en-US"/>
        </w:rPr>
        <w:t>C</w:t>
      </w:r>
      <w:r w:rsidRPr="008812B8">
        <w:rPr>
          <w:rFonts w:cs="Arial"/>
          <w:szCs w:val="24"/>
          <w:lang w:eastAsia="en-US"/>
        </w:rPr>
        <w:t>ouncil's various reserves and balances</w:t>
      </w:r>
      <w:r w:rsidR="00BE38D9" w:rsidRPr="008812B8">
        <w:rPr>
          <w:rFonts w:cs="Arial"/>
          <w:szCs w:val="24"/>
          <w:lang w:eastAsia="en-US"/>
        </w:rPr>
        <w:t>,</w:t>
      </w:r>
    </w:p>
    <w:p w14:paraId="12B2D8A6" w14:textId="77777777" w:rsidR="007B75FD" w:rsidRPr="008812B8" w:rsidRDefault="007B75FD" w:rsidP="00931724">
      <w:pPr>
        <w:ind w:left="426" w:hanging="426"/>
        <w:jc w:val="both"/>
        <w:rPr>
          <w:rFonts w:cs="Arial"/>
          <w:szCs w:val="24"/>
          <w:lang w:eastAsia="en-US"/>
        </w:rPr>
      </w:pPr>
      <w:r w:rsidRPr="008812B8">
        <w:rPr>
          <w:rFonts w:cs="Arial"/>
          <w:szCs w:val="24"/>
          <w:lang w:eastAsia="en-US"/>
        </w:rPr>
        <w:t>b)</w:t>
      </w:r>
      <w:r w:rsidRPr="008812B8">
        <w:rPr>
          <w:rFonts w:cs="Arial"/>
          <w:szCs w:val="24"/>
          <w:lang w:eastAsia="en-US"/>
        </w:rPr>
        <w:tab/>
        <w:t xml:space="preserve">To ensure that the </w:t>
      </w:r>
      <w:r w:rsidR="00644542" w:rsidRPr="008812B8">
        <w:rPr>
          <w:rFonts w:cs="Arial"/>
          <w:szCs w:val="24"/>
          <w:lang w:eastAsia="en-US"/>
        </w:rPr>
        <w:t>C</w:t>
      </w:r>
      <w:r w:rsidRPr="008812B8">
        <w:rPr>
          <w:rFonts w:cs="Arial"/>
          <w:szCs w:val="24"/>
          <w:lang w:eastAsia="en-US"/>
        </w:rPr>
        <w:t xml:space="preserve">ounty </w:t>
      </w:r>
      <w:r w:rsidR="00644542" w:rsidRPr="008812B8">
        <w:rPr>
          <w:rFonts w:cs="Arial"/>
          <w:szCs w:val="24"/>
          <w:lang w:eastAsia="en-US"/>
        </w:rPr>
        <w:t>C</w:t>
      </w:r>
      <w:r w:rsidRPr="008812B8">
        <w:rPr>
          <w:rFonts w:cs="Arial"/>
          <w:szCs w:val="24"/>
          <w:lang w:eastAsia="en-US"/>
        </w:rPr>
        <w:t>ouncil has access to cash resources as and when required</w:t>
      </w:r>
      <w:r w:rsidR="00BE38D9" w:rsidRPr="008812B8">
        <w:rPr>
          <w:rFonts w:cs="Arial"/>
          <w:szCs w:val="24"/>
          <w:lang w:eastAsia="en-US"/>
        </w:rPr>
        <w:t>,</w:t>
      </w:r>
    </w:p>
    <w:p w14:paraId="722E0BB4" w14:textId="77777777" w:rsidR="007B75FD" w:rsidRPr="008812B8" w:rsidRDefault="007B75FD" w:rsidP="00931724">
      <w:pPr>
        <w:ind w:left="426" w:hanging="426"/>
        <w:jc w:val="both"/>
        <w:rPr>
          <w:rFonts w:cs="Arial"/>
          <w:szCs w:val="24"/>
          <w:lang w:eastAsia="en-US"/>
        </w:rPr>
      </w:pPr>
      <w:r w:rsidRPr="008812B8">
        <w:rPr>
          <w:rFonts w:cs="Arial"/>
          <w:szCs w:val="24"/>
          <w:lang w:eastAsia="en-US"/>
        </w:rPr>
        <w:t>c)</w:t>
      </w:r>
      <w:r w:rsidRPr="008812B8">
        <w:rPr>
          <w:rFonts w:cs="Arial"/>
          <w:szCs w:val="24"/>
          <w:lang w:eastAsia="en-US"/>
        </w:rPr>
        <w:tab/>
        <w:t xml:space="preserve">To minimise the cost of the borrowing required to finance the </w:t>
      </w:r>
      <w:r w:rsidR="00644542" w:rsidRPr="008812B8">
        <w:rPr>
          <w:rFonts w:cs="Arial"/>
          <w:szCs w:val="24"/>
          <w:lang w:eastAsia="en-US"/>
        </w:rPr>
        <w:t>C</w:t>
      </w:r>
      <w:r w:rsidRPr="008812B8">
        <w:rPr>
          <w:rFonts w:cs="Arial"/>
          <w:szCs w:val="24"/>
          <w:lang w:eastAsia="en-US"/>
        </w:rPr>
        <w:t xml:space="preserve">ounty </w:t>
      </w:r>
      <w:r w:rsidR="00644542" w:rsidRPr="008812B8">
        <w:rPr>
          <w:rFonts w:cs="Arial"/>
          <w:szCs w:val="24"/>
          <w:lang w:eastAsia="en-US"/>
        </w:rPr>
        <w:t>C</w:t>
      </w:r>
      <w:r w:rsidRPr="008812B8">
        <w:rPr>
          <w:rFonts w:cs="Arial"/>
          <w:szCs w:val="24"/>
          <w:lang w:eastAsia="en-US"/>
        </w:rPr>
        <w:t xml:space="preserve">ouncil's </w:t>
      </w:r>
      <w:r w:rsidR="00644542" w:rsidRPr="008812B8">
        <w:rPr>
          <w:rFonts w:cs="Arial"/>
          <w:szCs w:val="24"/>
          <w:lang w:eastAsia="en-US"/>
        </w:rPr>
        <w:t>c</w:t>
      </w:r>
      <w:r w:rsidRPr="008812B8">
        <w:rPr>
          <w:rFonts w:cs="Arial"/>
          <w:szCs w:val="24"/>
          <w:lang w:eastAsia="en-US"/>
        </w:rPr>
        <w:t xml:space="preserve">apital </w:t>
      </w:r>
      <w:r w:rsidR="00644542" w:rsidRPr="008812B8">
        <w:rPr>
          <w:rFonts w:cs="Arial"/>
          <w:szCs w:val="24"/>
          <w:lang w:eastAsia="en-US"/>
        </w:rPr>
        <w:t>i</w:t>
      </w:r>
      <w:r w:rsidRPr="008812B8">
        <w:rPr>
          <w:rFonts w:cs="Arial"/>
          <w:szCs w:val="24"/>
          <w:lang w:eastAsia="en-US"/>
        </w:rPr>
        <w:t>nvestment programme, and</w:t>
      </w:r>
    </w:p>
    <w:p w14:paraId="6B83E975" w14:textId="77777777" w:rsidR="00CB1623" w:rsidRPr="008812B8" w:rsidRDefault="007B75FD" w:rsidP="00931724">
      <w:pPr>
        <w:ind w:left="426" w:hanging="426"/>
        <w:jc w:val="both"/>
        <w:rPr>
          <w:rFonts w:cs="Arial"/>
          <w:szCs w:val="24"/>
        </w:rPr>
      </w:pPr>
      <w:r w:rsidRPr="008812B8">
        <w:rPr>
          <w:rFonts w:cs="Arial"/>
          <w:szCs w:val="24"/>
          <w:lang w:eastAsia="en-US"/>
        </w:rPr>
        <w:t>d)</w:t>
      </w:r>
      <w:r w:rsidRPr="008812B8">
        <w:rPr>
          <w:rFonts w:cs="Arial"/>
          <w:szCs w:val="24"/>
          <w:lang w:eastAsia="en-US"/>
        </w:rPr>
        <w:tab/>
        <w:t xml:space="preserve">To maximise investment returns commensurate with the </w:t>
      </w:r>
      <w:r w:rsidR="00644542" w:rsidRPr="008812B8">
        <w:rPr>
          <w:rFonts w:cs="Arial"/>
          <w:szCs w:val="24"/>
          <w:lang w:eastAsia="en-US"/>
        </w:rPr>
        <w:t>C</w:t>
      </w:r>
      <w:r w:rsidRPr="008812B8">
        <w:rPr>
          <w:rFonts w:cs="Arial"/>
          <w:szCs w:val="24"/>
          <w:lang w:eastAsia="en-US"/>
        </w:rPr>
        <w:t xml:space="preserve">ounty </w:t>
      </w:r>
      <w:r w:rsidR="00644542" w:rsidRPr="008812B8">
        <w:rPr>
          <w:rFonts w:cs="Arial"/>
          <w:szCs w:val="24"/>
          <w:lang w:eastAsia="en-US"/>
        </w:rPr>
        <w:t>C</w:t>
      </w:r>
      <w:r w:rsidRPr="008812B8">
        <w:rPr>
          <w:rFonts w:cs="Arial"/>
          <w:szCs w:val="24"/>
          <w:lang w:eastAsia="en-US"/>
        </w:rPr>
        <w:t xml:space="preserve">ouncil's policy of minimising risks to the security of capital and its liquidity </w:t>
      </w:r>
      <w:r w:rsidR="00C36757" w:rsidRPr="008812B8">
        <w:rPr>
          <w:rFonts w:cs="Arial"/>
          <w:szCs w:val="24"/>
          <w:lang w:eastAsia="en-US"/>
        </w:rPr>
        <w:t>position.</w:t>
      </w:r>
    </w:p>
    <w:p w14:paraId="3EA00B17" w14:textId="77777777" w:rsidR="00CB1623" w:rsidRPr="008812B8" w:rsidRDefault="00CB1623" w:rsidP="00931724">
      <w:pPr>
        <w:jc w:val="both"/>
        <w:rPr>
          <w:rFonts w:cs="Arial"/>
          <w:b/>
          <w:szCs w:val="24"/>
          <w:highlight w:val="yellow"/>
        </w:rPr>
      </w:pPr>
    </w:p>
    <w:p w14:paraId="1CD64640" w14:textId="77777777" w:rsidR="0071182D" w:rsidRPr="0035578D" w:rsidRDefault="00BE38D9" w:rsidP="00041284">
      <w:pPr>
        <w:pStyle w:val="ListParagraph"/>
        <w:spacing w:after="0"/>
        <w:ind w:left="0"/>
        <w:jc w:val="both"/>
        <w:rPr>
          <w:rFonts w:cs="Arial"/>
          <w:b/>
          <w:szCs w:val="24"/>
        </w:rPr>
      </w:pPr>
      <w:r w:rsidRPr="0035578D">
        <w:rPr>
          <w:rFonts w:cs="Arial"/>
          <w:b/>
          <w:szCs w:val="24"/>
        </w:rPr>
        <w:t>3</w:t>
      </w:r>
      <w:r w:rsidR="006B2962" w:rsidRPr="0035578D">
        <w:rPr>
          <w:rFonts w:cs="Arial"/>
          <w:b/>
          <w:szCs w:val="24"/>
        </w:rPr>
        <w:t>.1</w:t>
      </w:r>
      <w:r w:rsidR="006B2962" w:rsidRPr="0035578D">
        <w:rPr>
          <w:rFonts w:cs="Arial"/>
          <w:b/>
          <w:szCs w:val="24"/>
        </w:rPr>
        <w:tab/>
      </w:r>
      <w:r w:rsidR="008B31ED" w:rsidRPr="0035578D">
        <w:rPr>
          <w:rFonts w:cs="Arial"/>
          <w:b/>
          <w:szCs w:val="24"/>
        </w:rPr>
        <w:t>Investment</w:t>
      </w:r>
      <w:r w:rsidR="00B65FA9" w:rsidRPr="0035578D">
        <w:rPr>
          <w:rFonts w:cs="Arial"/>
          <w:b/>
          <w:szCs w:val="24"/>
        </w:rPr>
        <w:t xml:space="preserve"> Activity</w:t>
      </w:r>
    </w:p>
    <w:p w14:paraId="6351D75F" w14:textId="77777777" w:rsidR="00792B52" w:rsidRPr="0035578D" w:rsidRDefault="00792B52" w:rsidP="00041284">
      <w:pPr>
        <w:pStyle w:val="ListParagraph"/>
        <w:spacing w:line="240" w:lineRule="auto"/>
        <w:ind w:left="0"/>
        <w:jc w:val="both"/>
        <w:rPr>
          <w:rFonts w:cs="Arial"/>
          <w:b/>
          <w:szCs w:val="24"/>
        </w:rPr>
      </w:pPr>
    </w:p>
    <w:p w14:paraId="55C03459" w14:textId="19281CA3" w:rsidR="00F37AA3" w:rsidRPr="0035578D" w:rsidRDefault="00792B52" w:rsidP="00041284">
      <w:pPr>
        <w:pStyle w:val="ListParagraph"/>
        <w:spacing w:after="0" w:line="240" w:lineRule="auto"/>
        <w:ind w:left="0"/>
        <w:jc w:val="both"/>
        <w:rPr>
          <w:rFonts w:cs="Arial"/>
          <w:szCs w:val="24"/>
        </w:rPr>
      </w:pPr>
      <w:r w:rsidRPr="0035578D">
        <w:rPr>
          <w:rFonts w:cs="Arial"/>
          <w:szCs w:val="24"/>
        </w:rPr>
        <w:t>Investments at the 3</w:t>
      </w:r>
      <w:r w:rsidR="003E1EA3" w:rsidRPr="0035578D">
        <w:rPr>
          <w:rFonts w:cs="Arial"/>
          <w:szCs w:val="24"/>
        </w:rPr>
        <w:t>0</w:t>
      </w:r>
      <w:r w:rsidR="003E1EA3" w:rsidRPr="0035578D">
        <w:rPr>
          <w:rFonts w:cs="Arial"/>
          <w:szCs w:val="24"/>
          <w:vertAlign w:val="superscript"/>
        </w:rPr>
        <w:t>th</w:t>
      </w:r>
      <w:r w:rsidR="003E1EA3" w:rsidRPr="0035578D">
        <w:rPr>
          <w:rFonts w:cs="Arial"/>
          <w:szCs w:val="24"/>
        </w:rPr>
        <w:t xml:space="preserve"> November are £769.18m consisting of £188.07</w:t>
      </w:r>
      <w:r w:rsidRPr="0035578D">
        <w:rPr>
          <w:rFonts w:cs="Arial"/>
          <w:szCs w:val="24"/>
        </w:rPr>
        <w:t xml:space="preserve">m in bank and </w:t>
      </w:r>
      <w:r w:rsidR="00BF215C" w:rsidRPr="0035578D">
        <w:rPr>
          <w:rFonts w:cs="Arial"/>
          <w:szCs w:val="24"/>
        </w:rPr>
        <w:t>L</w:t>
      </w:r>
      <w:r w:rsidRPr="0035578D">
        <w:rPr>
          <w:rFonts w:cs="Arial"/>
          <w:szCs w:val="24"/>
        </w:rPr>
        <w:t xml:space="preserve">ocal </w:t>
      </w:r>
      <w:r w:rsidR="00BF215C" w:rsidRPr="0035578D">
        <w:rPr>
          <w:rFonts w:cs="Arial"/>
          <w:szCs w:val="24"/>
        </w:rPr>
        <w:t>A</w:t>
      </w:r>
      <w:r w:rsidR="003E1EA3" w:rsidRPr="0035578D">
        <w:rPr>
          <w:rFonts w:cs="Arial"/>
          <w:szCs w:val="24"/>
        </w:rPr>
        <w:t>uthority deposits and £581</w:t>
      </w:r>
      <w:r w:rsidRPr="0035578D">
        <w:rPr>
          <w:rFonts w:cs="Arial"/>
          <w:szCs w:val="24"/>
        </w:rPr>
        <w:t>.1</w:t>
      </w:r>
      <w:r w:rsidR="003E1EA3" w:rsidRPr="0035578D">
        <w:rPr>
          <w:rFonts w:cs="Arial"/>
          <w:szCs w:val="24"/>
        </w:rPr>
        <w:t>1</w:t>
      </w:r>
      <w:r w:rsidRPr="0035578D">
        <w:rPr>
          <w:rFonts w:cs="Arial"/>
          <w:szCs w:val="24"/>
        </w:rPr>
        <w:t xml:space="preserve">m in bonds. In total investments have </w:t>
      </w:r>
      <w:r w:rsidR="0035578D" w:rsidRPr="0035578D">
        <w:rPr>
          <w:rFonts w:cs="Arial"/>
          <w:szCs w:val="24"/>
        </w:rPr>
        <w:t>in</w:t>
      </w:r>
      <w:r w:rsidRPr="0035578D">
        <w:rPr>
          <w:rFonts w:cs="Arial"/>
          <w:szCs w:val="24"/>
        </w:rPr>
        <w:t>creased by £</w:t>
      </w:r>
      <w:r w:rsidR="003E1EA3" w:rsidRPr="0035578D">
        <w:rPr>
          <w:rFonts w:cs="Arial"/>
          <w:szCs w:val="24"/>
        </w:rPr>
        <w:t>57.25m</w:t>
      </w:r>
      <w:r w:rsidR="00C36757" w:rsidRPr="0035578D">
        <w:rPr>
          <w:rFonts w:cs="Arial"/>
          <w:szCs w:val="24"/>
        </w:rPr>
        <w:t xml:space="preserve"> </w:t>
      </w:r>
      <w:r w:rsidRPr="0035578D">
        <w:rPr>
          <w:rFonts w:cs="Arial"/>
          <w:szCs w:val="24"/>
        </w:rPr>
        <w:t xml:space="preserve">over the period. The table below </w:t>
      </w:r>
      <w:r w:rsidR="00BF215C" w:rsidRPr="0035578D">
        <w:rPr>
          <w:rFonts w:cs="Arial"/>
          <w:szCs w:val="24"/>
        </w:rPr>
        <w:t xml:space="preserve">shows </w:t>
      </w:r>
      <w:r w:rsidRPr="0035578D">
        <w:rPr>
          <w:rFonts w:cs="Arial"/>
          <w:szCs w:val="24"/>
        </w:rPr>
        <w:t>the investment activity between 1</w:t>
      </w:r>
      <w:r w:rsidR="009E5565" w:rsidRPr="0035578D">
        <w:rPr>
          <w:rFonts w:cs="Arial"/>
          <w:szCs w:val="24"/>
          <w:vertAlign w:val="superscript"/>
        </w:rPr>
        <w:t>st</w:t>
      </w:r>
      <w:r w:rsidR="009E5565" w:rsidRPr="0035578D">
        <w:rPr>
          <w:rFonts w:cs="Arial"/>
          <w:szCs w:val="24"/>
        </w:rPr>
        <w:t xml:space="preserve"> </w:t>
      </w:r>
      <w:r w:rsidR="003E1EA3" w:rsidRPr="0035578D">
        <w:rPr>
          <w:rFonts w:cs="Arial"/>
          <w:szCs w:val="24"/>
        </w:rPr>
        <w:t xml:space="preserve">August </w:t>
      </w:r>
      <w:r w:rsidRPr="0035578D">
        <w:rPr>
          <w:rFonts w:cs="Arial"/>
          <w:szCs w:val="24"/>
        </w:rPr>
        <w:t xml:space="preserve">2015 and </w:t>
      </w:r>
      <w:r w:rsidR="003E1EA3" w:rsidRPr="0035578D">
        <w:rPr>
          <w:rFonts w:cs="Arial"/>
          <w:szCs w:val="24"/>
        </w:rPr>
        <w:t>30</w:t>
      </w:r>
      <w:r w:rsidR="003E1EA3" w:rsidRPr="0035578D">
        <w:rPr>
          <w:rFonts w:cs="Arial"/>
          <w:szCs w:val="24"/>
          <w:vertAlign w:val="superscript"/>
        </w:rPr>
        <w:t>th</w:t>
      </w:r>
      <w:r w:rsidR="003E1EA3" w:rsidRPr="0035578D">
        <w:rPr>
          <w:rFonts w:cs="Arial"/>
          <w:szCs w:val="24"/>
        </w:rPr>
        <w:t xml:space="preserve"> November 2015</w:t>
      </w:r>
      <w:r w:rsidRPr="0035578D">
        <w:rPr>
          <w:rFonts w:cs="Arial"/>
          <w:szCs w:val="24"/>
        </w:rPr>
        <w:t>.</w:t>
      </w:r>
    </w:p>
    <w:p w14:paraId="49A51632" w14:textId="77777777" w:rsidR="003B1E02" w:rsidRDefault="003B1E02" w:rsidP="00041284">
      <w:pPr>
        <w:pStyle w:val="ListParagraph"/>
        <w:spacing w:after="0" w:line="240" w:lineRule="auto"/>
        <w:ind w:left="0"/>
        <w:jc w:val="both"/>
        <w:rPr>
          <w:rFonts w:cs="Arial"/>
          <w:szCs w:val="24"/>
          <w:highlight w:val="yellow"/>
        </w:rPr>
      </w:pPr>
    </w:p>
    <w:p w14:paraId="3FFAA595" w14:textId="77777777" w:rsidR="00542C00" w:rsidRDefault="00542C00" w:rsidP="00041284">
      <w:pPr>
        <w:pStyle w:val="ListParagraph"/>
        <w:spacing w:after="0" w:line="240" w:lineRule="auto"/>
        <w:ind w:left="0"/>
        <w:jc w:val="both"/>
        <w:rPr>
          <w:rFonts w:cs="Arial"/>
          <w:szCs w:val="24"/>
          <w:highlight w:val="yellow"/>
        </w:rPr>
      </w:pPr>
    </w:p>
    <w:p w14:paraId="0DAF29E0" w14:textId="77777777" w:rsidR="00542C00" w:rsidRDefault="00542C00" w:rsidP="00041284">
      <w:pPr>
        <w:pStyle w:val="ListParagraph"/>
        <w:spacing w:after="0" w:line="240" w:lineRule="auto"/>
        <w:ind w:left="0"/>
        <w:jc w:val="both"/>
        <w:rPr>
          <w:rFonts w:cs="Arial"/>
          <w:szCs w:val="24"/>
          <w:highlight w:val="yellow"/>
        </w:rPr>
      </w:pPr>
    </w:p>
    <w:p w14:paraId="13E61EFD" w14:textId="77777777" w:rsidR="00542C00" w:rsidRDefault="00542C00" w:rsidP="00041284">
      <w:pPr>
        <w:pStyle w:val="ListParagraph"/>
        <w:spacing w:after="0" w:line="240" w:lineRule="auto"/>
        <w:ind w:left="0"/>
        <w:jc w:val="both"/>
        <w:rPr>
          <w:rFonts w:cs="Arial"/>
          <w:szCs w:val="24"/>
          <w:highlight w:val="yellow"/>
        </w:rPr>
      </w:pPr>
    </w:p>
    <w:p w14:paraId="7E3F949E" w14:textId="77777777" w:rsidR="00542C00" w:rsidRDefault="00542C00" w:rsidP="00041284">
      <w:pPr>
        <w:pStyle w:val="ListParagraph"/>
        <w:spacing w:after="0" w:line="240" w:lineRule="auto"/>
        <w:ind w:left="0"/>
        <w:jc w:val="both"/>
        <w:rPr>
          <w:rFonts w:cs="Arial"/>
          <w:szCs w:val="24"/>
          <w:highlight w:val="yellow"/>
        </w:rPr>
      </w:pPr>
    </w:p>
    <w:p w14:paraId="683560E4" w14:textId="77777777" w:rsidR="00542C00" w:rsidRDefault="00542C00" w:rsidP="00041284">
      <w:pPr>
        <w:pStyle w:val="ListParagraph"/>
        <w:spacing w:after="0" w:line="240" w:lineRule="auto"/>
        <w:ind w:left="0"/>
        <w:jc w:val="both"/>
        <w:rPr>
          <w:rFonts w:cs="Arial"/>
          <w:szCs w:val="24"/>
          <w:highlight w:val="yellow"/>
        </w:rPr>
      </w:pPr>
    </w:p>
    <w:p w14:paraId="62D2EF74" w14:textId="77777777" w:rsidR="00542C00" w:rsidRDefault="00542C00" w:rsidP="00041284">
      <w:pPr>
        <w:pStyle w:val="ListParagraph"/>
        <w:spacing w:after="0" w:line="240" w:lineRule="auto"/>
        <w:ind w:left="0"/>
        <w:jc w:val="both"/>
        <w:rPr>
          <w:rFonts w:cs="Arial"/>
          <w:szCs w:val="24"/>
          <w:highlight w:val="yellow"/>
        </w:rPr>
      </w:pPr>
    </w:p>
    <w:p w14:paraId="5139332B" w14:textId="77777777" w:rsidR="00542C00" w:rsidRDefault="00542C00" w:rsidP="00041284">
      <w:pPr>
        <w:pStyle w:val="ListParagraph"/>
        <w:spacing w:after="0" w:line="240" w:lineRule="auto"/>
        <w:ind w:left="0"/>
        <w:jc w:val="both"/>
        <w:rPr>
          <w:rFonts w:cs="Arial"/>
          <w:szCs w:val="24"/>
          <w:highlight w:val="yellow"/>
        </w:rPr>
      </w:pPr>
    </w:p>
    <w:p w14:paraId="1A6CE665" w14:textId="77777777" w:rsidR="00542C00" w:rsidRDefault="00542C00" w:rsidP="00041284">
      <w:pPr>
        <w:pStyle w:val="ListParagraph"/>
        <w:spacing w:after="0" w:line="240" w:lineRule="auto"/>
        <w:ind w:left="0"/>
        <w:jc w:val="both"/>
        <w:rPr>
          <w:rFonts w:cs="Arial"/>
          <w:szCs w:val="24"/>
          <w:highlight w:val="yellow"/>
        </w:rPr>
      </w:pPr>
    </w:p>
    <w:p w14:paraId="5ECF6823" w14:textId="77777777" w:rsidR="00542C00" w:rsidRDefault="00542C00" w:rsidP="00041284">
      <w:pPr>
        <w:pStyle w:val="ListParagraph"/>
        <w:spacing w:after="0" w:line="240" w:lineRule="auto"/>
        <w:ind w:left="0"/>
        <w:jc w:val="both"/>
        <w:rPr>
          <w:rFonts w:cs="Arial"/>
          <w:szCs w:val="24"/>
          <w:highlight w:val="yellow"/>
        </w:rPr>
      </w:pPr>
    </w:p>
    <w:p w14:paraId="55DAF070" w14:textId="77777777" w:rsidR="00542C00" w:rsidRDefault="00542C00" w:rsidP="00041284">
      <w:pPr>
        <w:pStyle w:val="ListParagraph"/>
        <w:spacing w:after="0" w:line="240" w:lineRule="auto"/>
        <w:ind w:left="0"/>
        <w:jc w:val="both"/>
        <w:rPr>
          <w:rFonts w:cs="Arial"/>
          <w:szCs w:val="24"/>
          <w:highlight w:val="yellow"/>
        </w:rPr>
      </w:pPr>
    </w:p>
    <w:p w14:paraId="4B46DDD7" w14:textId="77777777" w:rsidR="00542C00" w:rsidRDefault="00542C00" w:rsidP="00041284">
      <w:pPr>
        <w:pStyle w:val="ListParagraph"/>
        <w:spacing w:after="0" w:line="240" w:lineRule="auto"/>
        <w:ind w:left="0"/>
        <w:jc w:val="both"/>
        <w:rPr>
          <w:rFonts w:cs="Arial"/>
          <w:szCs w:val="24"/>
          <w:highlight w:val="yellow"/>
        </w:rPr>
      </w:pPr>
    </w:p>
    <w:p w14:paraId="123028F8" w14:textId="77777777" w:rsidR="003E1EA3" w:rsidRDefault="003E1EA3" w:rsidP="00041284">
      <w:pPr>
        <w:pStyle w:val="ListParagraph"/>
        <w:spacing w:after="0" w:line="240" w:lineRule="auto"/>
        <w:ind w:left="0"/>
        <w:jc w:val="both"/>
        <w:rPr>
          <w:rFonts w:cs="Arial"/>
          <w:szCs w:val="24"/>
          <w:highlight w:val="yellow"/>
        </w:rPr>
      </w:pPr>
    </w:p>
    <w:tbl>
      <w:tblPr>
        <w:tblW w:w="9260" w:type="dxa"/>
        <w:tblLook w:val="04A0" w:firstRow="1" w:lastRow="0" w:firstColumn="1" w:lastColumn="0" w:noHBand="0" w:noVBand="1"/>
      </w:tblPr>
      <w:tblGrid>
        <w:gridCol w:w="3640"/>
        <w:gridCol w:w="1540"/>
        <w:gridCol w:w="1300"/>
        <w:gridCol w:w="1440"/>
        <w:gridCol w:w="1340"/>
      </w:tblGrid>
      <w:tr w:rsidR="003E1EA3" w:rsidRPr="003E1EA3" w14:paraId="22090B6F" w14:textId="77777777" w:rsidTr="003E1EA3">
        <w:trPr>
          <w:trHeight w:val="315"/>
        </w:trPr>
        <w:tc>
          <w:tcPr>
            <w:tcW w:w="3640" w:type="dxa"/>
            <w:tcBorders>
              <w:top w:val="single" w:sz="4" w:space="0" w:color="auto"/>
              <w:left w:val="single" w:sz="4" w:space="0" w:color="auto"/>
              <w:bottom w:val="nil"/>
              <w:right w:val="single" w:sz="4" w:space="0" w:color="auto"/>
            </w:tcBorders>
            <w:shd w:val="clear" w:color="auto" w:fill="auto"/>
            <w:noWrap/>
            <w:vAlign w:val="center"/>
            <w:hideMark/>
          </w:tcPr>
          <w:p w14:paraId="239385E6" w14:textId="77777777" w:rsidR="003E1EA3" w:rsidRPr="003E1EA3" w:rsidRDefault="003E1EA3" w:rsidP="003E1EA3">
            <w:pPr>
              <w:rPr>
                <w:rFonts w:cs="Arial"/>
                <w:b/>
                <w:bCs/>
                <w:color w:val="000000"/>
                <w:szCs w:val="24"/>
              </w:rPr>
            </w:pPr>
            <w:r w:rsidRPr="003E1EA3">
              <w:rPr>
                <w:rFonts w:cs="Arial"/>
                <w:b/>
                <w:bCs/>
                <w:color w:val="000000"/>
                <w:szCs w:val="24"/>
              </w:rPr>
              <w:lastRenderedPageBreak/>
              <w:t xml:space="preserve">Bank and Local Authority </w:t>
            </w:r>
          </w:p>
        </w:tc>
        <w:tc>
          <w:tcPr>
            <w:tcW w:w="1540" w:type="dxa"/>
            <w:tcBorders>
              <w:top w:val="single" w:sz="4" w:space="0" w:color="auto"/>
              <w:left w:val="nil"/>
              <w:bottom w:val="nil"/>
              <w:right w:val="single" w:sz="4" w:space="0" w:color="auto"/>
            </w:tcBorders>
            <w:shd w:val="clear" w:color="auto" w:fill="auto"/>
            <w:noWrap/>
            <w:vAlign w:val="bottom"/>
            <w:hideMark/>
          </w:tcPr>
          <w:p w14:paraId="6D848984" w14:textId="77777777" w:rsidR="003E1EA3" w:rsidRPr="003E1EA3" w:rsidRDefault="003E1EA3" w:rsidP="003E1EA3">
            <w:pPr>
              <w:jc w:val="center"/>
              <w:rPr>
                <w:rFonts w:cs="Arial"/>
                <w:b/>
                <w:bCs/>
                <w:color w:val="000000"/>
                <w:szCs w:val="24"/>
              </w:rPr>
            </w:pPr>
            <w:r w:rsidRPr="003E1EA3">
              <w:rPr>
                <w:rFonts w:cs="Arial"/>
                <w:b/>
                <w:bCs/>
                <w:color w:val="000000"/>
                <w:szCs w:val="24"/>
              </w:rPr>
              <w:t>Call/MMF</w:t>
            </w:r>
          </w:p>
        </w:tc>
        <w:tc>
          <w:tcPr>
            <w:tcW w:w="1300" w:type="dxa"/>
            <w:tcBorders>
              <w:top w:val="single" w:sz="4" w:space="0" w:color="auto"/>
              <w:left w:val="nil"/>
              <w:bottom w:val="nil"/>
              <w:right w:val="single" w:sz="4" w:space="0" w:color="auto"/>
            </w:tcBorders>
            <w:shd w:val="clear" w:color="auto" w:fill="auto"/>
            <w:noWrap/>
            <w:vAlign w:val="bottom"/>
            <w:hideMark/>
          </w:tcPr>
          <w:p w14:paraId="109C794D" w14:textId="77777777" w:rsidR="003E1EA3" w:rsidRPr="003E1EA3" w:rsidRDefault="003E1EA3" w:rsidP="003E1EA3">
            <w:pPr>
              <w:jc w:val="center"/>
              <w:rPr>
                <w:rFonts w:cs="Arial"/>
                <w:b/>
                <w:bCs/>
                <w:color w:val="000000"/>
                <w:szCs w:val="24"/>
              </w:rPr>
            </w:pPr>
            <w:r w:rsidRPr="003E1EA3">
              <w:rPr>
                <w:rFonts w:cs="Arial"/>
                <w:b/>
                <w:bCs/>
                <w:color w:val="000000"/>
                <w:szCs w:val="24"/>
              </w:rPr>
              <w:t>Fixed</w:t>
            </w:r>
          </w:p>
        </w:tc>
        <w:tc>
          <w:tcPr>
            <w:tcW w:w="1440" w:type="dxa"/>
            <w:tcBorders>
              <w:top w:val="single" w:sz="4" w:space="0" w:color="auto"/>
              <w:left w:val="nil"/>
              <w:bottom w:val="nil"/>
              <w:right w:val="single" w:sz="4" w:space="0" w:color="auto"/>
            </w:tcBorders>
            <w:shd w:val="clear" w:color="auto" w:fill="auto"/>
            <w:noWrap/>
            <w:vAlign w:val="bottom"/>
            <w:hideMark/>
          </w:tcPr>
          <w:p w14:paraId="5DE64B9F" w14:textId="77777777" w:rsidR="003E1EA3" w:rsidRPr="003E1EA3" w:rsidRDefault="003E1EA3" w:rsidP="003E1EA3">
            <w:pPr>
              <w:jc w:val="center"/>
              <w:rPr>
                <w:rFonts w:cs="Arial"/>
                <w:b/>
                <w:bCs/>
                <w:color w:val="000000"/>
                <w:szCs w:val="24"/>
              </w:rPr>
            </w:pPr>
            <w:r w:rsidRPr="003E1EA3">
              <w:rPr>
                <w:rFonts w:cs="Arial"/>
                <w:b/>
                <w:bCs/>
                <w:color w:val="000000"/>
                <w:szCs w:val="24"/>
              </w:rPr>
              <w:t xml:space="preserve">  Structured</w:t>
            </w:r>
          </w:p>
        </w:tc>
        <w:tc>
          <w:tcPr>
            <w:tcW w:w="1340" w:type="dxa"/>
            <w:tcBorders>
              <w:top w:val="single" w:sz="4" w:space="0" w:color="auto"/>
              <w:left w:val="nil"/>
              <w:bottom w:val="nil"/>
              <w:right w:val="single" w:sz="4" w:space="0" w:color="auto"/>
            </w:tcBorders>
            <w:shd w:val="clear" w:color="auto" w:fill="auto"/>
            <w:noWrap/>
            <w:vAlign w:val="bottom"/>
            <w:hideMark/>
          </w:tcPr>
          <w:p w14:paraId="66F00BFE" w14:textId="25FDBB75" w:rsidR="003E1EA3" w:rsidRPr="003E1EA3" w:rsidRDefault="003E1EA3" w:rsidP="003E1EA3">
            <w:pPr>
              <w:rPr>
                <w:rFonts w:cs="Arial"/>
                <w:b/>
                <w:bCs/>
                <w:color w:val="000000"/>
                <w:szCs w:val="24"/>
              </w:rPr>
            </w:pPr>
            <w:r>
              <w:rPr>
                <w:rFonts w:cs="Arial"/>
                <w:b/>
                <w:bCs/>
                <w:color w:val="000000"/>
                <w:szCs w:val="24"/>
              </w:rPr>
              <w:t xml:space="preserve">   </w:t>
            </w:r>
            <w:r w:rsidRPr="003E1EA3">
              <w:rPr>
                <w:rFonts w:cs="Arial"/>
                <w:b/>
                <w:bCs/>
                <w:color w:val="000000"/>
                <w:szCs w:val="24"/>
              </w:rPr>
              <w:t xml:space="preserve">Total </w:t>
            </w:r>
          </w:p>
        </w:tc>
      </w:tr>
      <w:tr w:rsidR="003E1EA3" w:rsidRPr="003E1EA3" w14:paraId="274A22D2" w14:textId="77777777" w:rsidTr="003E1EA3">
        <w:trPr>
          <w:trHeight w:val="31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00853FA" w14:textId="77777777" w:rsidR="003E1EA3" w:rsidRPr="003E1EA3" w:rsidRDefault="003E1EA3" w:rsidP="003E1EA3">
            <w:pPr>
              <w:jc w:val="both"/>
              <w:rPr>
                <w:rFonts w:cs="Arial"/>
                <w:b/>
                <w:bCs/>
                <w:color w:val="000000"/>
                <w:szCs w:val="24"/>
              </w:rPr>
            </w:pPr>
            <w:r w:rsidRPr="003E1EA3">
              <w:rPr>
                <w:rFonts w:cs="Arial"/>
                <w:b/>
                <w:bCs/>
                <w:color w:val="000000"/>
                <w:szCs w:val="24"/>
              </w:rPr>
              <w:t>Deposits</w:t>
            </w:r>
          </w:p>
        </w:tc>
        <w:tc>
          <w:tcPr>
            <w:tcW w:w="1540" w:type="dxa"/>
            <w:tcBorders>
              <w:top w:val="nil"/>
              <w:left w:val="nil"/>
              <w:bottom w:val="single" w:sz="4" w:space="0" w:color="auto"/>
              <w:right w:val="single" w:sz="4" w:space="0" w:color="auto"/>
            </w:tcBorders>
            <w:shd w:val="clear" w:color="auto" w:fill="auto"/>
            <w:noWrap/>
            <w:vAlign w:val="bottom"/>
            <w:hideMark/>
          </w:tcPr>
          <w:p w14:paraId="6A8A6F91" w14:textId="77777777" w:rsidR="003E1EA3" w:rsidRPr="003E1EA3" w:rsidRDefault="003E1EA3" w:rsidP="003E1EA3">
            <w:pPr>
              <w:jc w:val="center"/>
              <w:rPr>
                <w:rFonts w:cs="Arial"/>
                <w:b/>
                <w:bCs/>
                <w:color w:val="000000"/>
                <w:szCs w:val="24"/>
              </w:rPr>
            </w:pPr>
            <w:r w:rsidRPr="003E1EA3">
              <w:rPr>
                <w:rFonts w:cs="Arial"/>
                <w:b/>
                <w:bCs/>
                <w:color w:val="000000"/>
                <w:szCs w:val="24"/>
              </w:rPr>
              <w:t>£m</w:t>
            </w:r>
          </w:p>
        </w:tc>
        <w:tc>
          <w:tcPr>
            <w:tcW w:w="1300" w:type="dxa"/>
            <w:tcBorders>
              <w:top w:val="nil"/>
              <w:left w:val="nil"/>
              <w:bottom w:val="single" w:sz="4" w:space="0" w:color="auto"/>
              <w:right w:val="single" w:sz="4" w:space="0" w:color="auto"/>
            </w:tcBorders>
            <w:shd w:val="clear" w:color="auto" w:fill="auto"/>
            <w:noWrap/>
            <w:vAlign w:val="bottom"/>
            <w:hideMark/>
          </w:tcPr>
          <w:p w14:paraId="5BE6EE08" w14:textId="77777777" w:rsidR="003E1EA3" w:rsidRPr="003E1EA3" w:rsidRDefault="003E1EA3" w:rsidP="003E1EA3">
            <w:pPr>
              <w:jc w:val="center"/>
              <w:rPr>
                <w:rFonts w:cs="Arial"/>
                <w:b/>
                <w:bCs/>
                <w:color w:val="000000"/>
                <w:szCs w:val="24"/>
              </w:rPr>
            </w:pPr>
            <w:r w:rsidRPr="003E1EA3">
              <w:rPr>
                <w:rFonts w:cs="Arial"/>
                <w:b/>
                <w:bCs/>
                <w:color w:val="000000"/>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14:paraId="45469960" w14:textId="77777777" w:rsidR="003E1EA3" w:rsidRPr="003E1EA3" w:rsidRDefault="003E1EA3" w:rsidP="003E1EA3">
            <w:pPr>
              <w:jc w:val="center"/>
              <w:rPr>
                <w:rFonts w:cs="Arial"/>
                <w:b/>
                <w:bCs/>
                <w:color w:val="000000"/>
                <w:szCs w:val="24"/>
              </w:rPr>
            </w:pPr>
            <w:r w:rsidRPr="003E1EA3">
              <w:rPr>
                <w:rFonts w:cs="Arial"/>
                <w:b/>
                <w:bCs/>
                <w:color w:val="000000"/>
                <w:szCs w:val="24"/>
              </w:rPr>
              <w:t>£m</w:t>
            </w:r>
          </w:p>
        </w:tc>
        <w:tc>
          <w:tcPr>
            <w:tcW w:w="1340" w:type="dxa"/>
            <w:tcBorders>
              <w:top w:val="nil"/>
              <w:left w:val="nil"/>
              <w:bottom w:val="single" w:sz="4" w:space="0" w:color="auto"/>
              <w:right w:val="single" w:sz="4" w:space="0" w:color="auto"/>
            </w:tcBorders>
            <w:shd w:val="clear" w:color="auto" w:fill="auto"/>
            <w:noWrap/>
            <w:vAlign w:val="bottom"/>
            <w:hideMark/>
          </w:tcPr>
          <w:p w14:paraId="4076C401" w14:textId="77777777" w:rsidR="003E1EA3" w:rsidRPr="003E1EA3" w:rsidRDefault="003E1EA3" w:rsidP="003E1EA3">
            <w:pPr>
              <w:jc w:val="center"/>
              <w:rPr>
                <w:rFonts w:cs="Arial"/>
                <w:b/>
                <w:bCs/>
                <w:color w:val="000000"/>
                <w:szCs w:val="24"/>
              </w:rPr>
            </w:pPr>
            <w:r w:rsidRPr="003E1EA3">
              <w:rPr>
                <w:rFonts w:cs="Arial"/>
                <w:b/>
                <w:bCs/>
                <w:color w:val="000000"/>
                <w:szCs w:val="24"/>
              </w:rPr>
              <w:t>£m</w:t>
            </w:r>
          </w:p>
        </w:tc>
      </w:tr>
      <w:tr w:rsidR="003E1EA3" w:rsidRPr="003E1EA3" w14:paraId="50B23D7D" w14:textId="77777777" w:rsidTr="003E1EA3">
        <w:trPr>
          <w:trHeight w:val="31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2269E90" w14:textId="56A97428" w:rsidR="003E1EA3" w:rsidRPr="003E1EA3" w:rsidRDefault="003E1EA3" w:rsidP="003E1EA3">
            <w:pPr>
              <w:jc w:val="both"/>
              <w:rPr>
                <w:rFonts w:cs="Arial"/>
                <w:b/>
                <w:bCs/>
                <w:color w:val="000000"/>
                <w:szCs w:val="24"/>
              </w:rPr>
            </w:pPr>
            <w:r>
              <w:rPr>
                <w:rFonts w:cs="Arial"/>
                <w:b/>
                <w:bCs/>
                <w:color w:val="000000"/>
              </w:rPr>
              <w:t>Balance 1 August 2015</w:t>
            </w:r>
          </w:p>
        </w:tc>
        <w:tc>
          <w:tcPr>
            <w:tcW w:w="1540" w:type="dxa"/>
            <w:tcBorders>
              <w:top w:val="nil"/>
              <w:left w:val="nil"/>
              <w:bottom w:val="single" w:sz="4" w:space="0" w:color="auto"/>
              <w:right w:val="single" w:sz="4" w:space="0" w:color="auto"/>
            </w:tcBorders>
            <w:shd w:val="clear" w:color="auto" w:fill="auto"/>
            <w:noWrap/>
            <w:vAlign w:val="center"/>
            <w:hideMark/>
          </w:tcPr>
          <w:p w14:paraId="7E9DF711" w14:textId="77777777" w:rsidR="003E1EA3" w:rsidRPr="003E1EA3" w:rsidRDefault="003E1EA3" w:rsidP="003E1EA3">
            <w:pPr>
              <w:jc w:val="center"/>
              <w:rPr>
                <w:rFonts w:cs="Arial"/>
                <w:b/>
                <w:bCs/>
                <w:color w:val="000000"/>
                <w:szCs w:val="24"/>
              </w:rPr>
            </w:pPr>
            <w:r w:rsidRPr="003E1EA3">
              <w:rPr>
                <w:rFonts w:cs="Arial"/>
                <w:b/>
                <w:bCs/>
                <w:color w:val="000000"/>
                <w:szCs w:val="24"/>
              </w:rPr>
              <w:t>80.85</w:t>
            </w:r>
          </w:p>
        </w:tc>
        <w:tc>
          <w:tcPr>
            <w:tcW w:w="1300" w:type="dxa"/>
            <w:tcBorders>
              <w:top w:val="nil"/>
              <w:left w:val="nil"/>
              <w:bottom w:val="single" w:sz="4" w:space="0" w:color="auto"/>
              <w:right w:val="single" w:sz="4" w:space="0" w:color="auto"/>
            </w:tcBorders>
            <w:shd w:val="clear" w:color="auto" w:fill="auto"/>
            <w:noWrap/>
            <w:vAlign w:val="center"/>
            <w:hideMark/>
          </w:tcPr>
          <w:p w14:paraId="0D1C3194" w14:textId="77777777" w:rsidR="003E1EA3" w:rsidRPr="003E1EA3" w:rsidRDefault="003E1EA3" w:rsidP="003E1EA3">
            <w:pPr>
              <w:jc w:val="center"/>
              <w:rPr>
                <w:rFonts w:cs="Arial"/>
                <w:b/>
                <w:bCs/>
                <w:color w:val="000000"/>
                <w:szCs w:val="24"/>
              </w:rPr>
            </w:pPr>
            <w:r w:rsidRPr="003E1EA3">
              <w:rPr>
                <w:rFonts w:cs="Arial"/>
                <w:b/>
                <w:bCs/>
                <w:color w:val="000000"/>
                <w:szCs w:val="24"/>
              </w:rPr>
              <w:t>56.50</w:t>
            </w:r>
          </w:p>
        </w:tc>
        <w:tc>
          <w:tcPr>
            <w:tcW w:w="1440" w:type="dxa"/>
            <w:tcBorders>
              <w:top w:val="nil"/>
              <w:left w:val="nil"/>
              <w:bottom w:val="single" w:sz="4" w:space="0" w:color="auto"/>
              <w:right w:val="single" w:sz="4" w:space="0" w:color="auto"/>
            </w:tcBorders>
            <w:shd w:val="clear" w:color="auto" w:fill="auto"/>
            <w:noWrap/>
            <w:vAlign w:val="center"/>
            <w:hideMark/>
          </w:tcPr>
          <w:p w14:paraId="0DA6AB8C" w14:textId="77777777" w:rsidR="003E1EA3" w:rsidRPr="003E1EA3" w:rsidRDefault="003E1EA3" w:rsidP="003E1EA3">
            <w:pPr>
              <w:jc w:val="center"/>
              <w:rPr>
                <w:rFonts w:cs="Arial"/>
                <w:b/>
                <w:bCs/>
                <w:color w:val="000000"/>
                <w:szCs w:val="24"/>
              </w:rPr>
            </w:pPr>
            <w:r w:rsidRPr="003E1EA3">
              <w:rPr>
                <w:rFonts w:cs="Arial"/>
                <w:b/>
                <w:bCs/>
                <w:color w:val="000000"/>
                <w:szCs w:val="24"/>
              </w:rPr>
              <w:t>39.46</w:t>
            </w:r>
          </w:p>
        </w:tc>
        <w:tc>
          <w:tcPr>
            <w:tcW w:w="1340" w:type="dxa"/>
            <w:tcBorders>
              <w:top w:val="nil"/>
              <w:left w:val="nil"/>
              <w:bottom w:val="single" w:sz="4" w:space="0" w:color="auto"/>
              <w:right w:val="single" w:sz="4" w:space="0" w:color="auto"/>
            </w:tcBorders>
            <w:shd w:val="clear" w:color="auto" w:fill="auto"/>
            <w:noWrap/>
            <w:vAlign w:val="center"/>
            <w:hideMark/>
          </w:tcPr>
          <w:p w14:paraId="4E0FD6DA" w14:textId="77777777" w:rsidR="003E1EA3" w:rsidRPr="003E1EA3" w:rsidRDefault="003E1EA3" w:rsidP="003E1EA3">
            <w:pPr>
              <w:jc w:val="center"/>
              <w:rPr>
                <w:rFonts w:cs="Arial"/>
                <w:b/>
                <w:bCs/>
                <w:color w:val="000000"/>
                <w:szCs w:val="24"/>
              </w:rPr>
            </w:pPr>
            <w:r w:rsidRPr="003E1EA3">
              <w:rPr>
                <w:rFonts w:cs="Arial"/>
                <w:b/>
                <w:bCs/>
                <w:color w:val="000000"/>
                <w:szCs w:val="24"/>
              </w:rPr>
              <w:t>176.81</w:t>
            </w:r>
          </w:p>
        </w:tc>
      </w:tr>
      <w:tr w:rsidR="003E1EA3" w:rsidRPr="003E1EA3" w14:paraId="4F6058B2" w14:textId="77777777" w:rsidTr="003E1EA3">
        <w:trPr>
          <w:trHeight w:val="300"/>
        </w:trPr>
        <w:tc>
          <w:tcPr>
            <w:tcW w:w="3640" w:type="dxa"/>
            <w:tcBorders>
              <w:top w:val="nil"/>
              <w:left w:val="single" w:sz="4" w:space="0" w:color="auto"/>
              <w:bottom w:val="nil"/>
              <w:right w:val="single" w:sz="4" w:space="0" w:color="auto"/>
            </w:tcBorders>
            <w:shd w:val="clear" w:color="auto" w:fill="auto"/>
            <w:noWrap/>
            <w:vAlign w:val="center"/>
            <w:hideMark/>
          </w:tcPr>
          <w:p w14:paraId="60EDCB83" w14:textId="71CCF67D" w:rsidR="003E1EA3" w:rsidRPr="003E1EA3" w:rsidRDefault="003E1EA3" w:rsidP="003E1EA3">
            <w:pPr>
              <w:jc w:val="both"/>
              <w:rPr>
                <w:rFonts w:cs="Arial"/>
                <w:color w:val="000000"/>
                <w:szCs w:val="24"/>
              </w:rPr>
            </w:pPr>
            <w:r>
              <w:rPr>
                <w:rFonts w:cs="Arial"/>
                <w:color w:val="000000"/>
              </w:rPr>
              <w:t>Maturities</w:t>
            </w:r>
          </w:p>
        </w:tc>
        <w:tc>
          <w:tcPr>
            <w:tcW w:w="1540" w:type="dxa"/>
            <w:tcBorders>
              <w:top w:val="nil"/>
              <w:left w:val="nil"/>
              <w:bottom w:val="nil"/>
              <w:right w:val="single" w:sz="4" w:space="0" w:color="auto"/>
            </w:tcBorders>
            <w:shd w:val="clear" w:color="auto" w:fill="auto"/>
            <w:noWrap/>
            <w:vAlign w:val="center"/>
            <w:hideMark/>
          </w:tcPr>
          <w:p w14:paraId="1DA53809" w14:textId="77777777" w:rsidR="003E1EA3" w:rsidRPr="003E1EA3" w:rsidRDefault="003E1EA3" w:rsidP="003E1EA3">
            <w:pPr>
              <w:jc w:val="center"/>
              <w:rPr>
                <w:rFonts w:cs="Arial"/>
                <w:color w:val="000000"/>
                <w:szCs w:val="24"/>
              </w:rPr>
            </w:pPr>
            <w:r w:rsidRPr="003E1EA3">
              <w:rPr>
                <w:rFonts w:cs="Arial"/>
                <w:color w:val="000000"/>
                <w:szCs w:val="24"/>
              </w:rPr>
              <w:t>-56.01</w:t>
            </w:r>
          </w:p>
        </w:tc>
        <w:tc>
          <w:tcPr>
            <w:tcW w:w="1300" w:type="dxa"/>
            <w:tcBorders>
              <w:top w:val="nil"/>
              <w:left w:val="nil"/>
              <w:bottom w:val="nil"/>
              <w:right w:val="single" w:sz="4" w:space="0" w:color="auto"/>
            </w:tcBorders>
            <w:shd w:val="clear" w:color="auto" w:fill="auto"/>
            <w:noWrap/>
            <w:vAlign w:val="center"/>
            <w:hideMark/>
          </w:tcPr>
          <w:p w14:paraId="666363C5" w14:textId="77777777" w:rsidR="003E1EA3" w:rsidRPr="003E1EA3" w:rsidRDefault="003E1EA3" w:rsidP="003E1EA3">
            <w:pPr>
              <w:jc w:val="center"/>
              <w:rPr>
                <w:rFonts w:cs="Arial"/>
                <w:color w:val="000000"/>
                <w:szCs w:val="24"/>
              </w:rPr>
            </w:pPr>
            <w:r w:rsidRPr="003E1EA3">
              <w:rPr>
                <w:rFonts w:cs="Arial"/>
                <w:color w:val="000000"/>
                <w:szCs w:val="24"/>
              </w:rPr>
              <w:t>0.00</w:t>
            </w:r>
          </w:p>
        </w:tc>
        <w:tc>
          <w:tcPr>
            <w:tcW w:w="1440" w:type="dxa"/>
            <w:tcBorders>
              <w:top w:val="nil"/>
              <w:left w:val="nil"/>
              <w:bottom w:val="nil"/>
              <w:right w:val="single" w:sz="4" w:space="0" w:color="auto"/>
            </w:tcBorders>
            <w:shd w:val="clear" w:color="auto" w:fill="auto"/>
            <w:noWrap/>
            <w:vAlign w:val="center"/>
            <w:hideMark/>
          </w:tcPr>
          <w:p w14:paraId="0DF766BE" w14:textId="77777777" w:rsidR="003E1EA3" w:rsidRPr="003E1EA3" w:rsidRDefault="003E1EA3" w:rsidP="003E1EA3">
            <w:pPr>
              <w:jc w:val="center"/>
              <w:rPr>
                <w:rFonts w:cs="Arial"/>
                <w:color w:val="000000"/>
                <w:szCs w:val="24"/>
              </w:rPr>
            </w:pPr>
            <w:r w:rsidRPr="003E1EA3">
              <w:rPr>
                <w:rFonts w:cs="Arial"/>
                <w:color w:val="000000"/>
                <w:szCs w:val="24"/>
              </w:rPr>
              <w:t>0.00</w:t>
            </w:r>
          </w:p>
        </w:tc>
        <w:tc>
          <w:tcPr>
            <w:tcW w:w="1340" w:type="dxa"/>
            <w:tcBorders>
              <w:top w:val="nil"/>
              <w:left w:val="nil"/>
              <w:bottom w:val="nil"/>
              <w:right w:val="single" w:sz="4" w:space="0" w:color="auto"/>
            </w:tcBorders>
            <w:shd w:val="clear" w:color="auto" w:fill="auto"/>
            <w:noWrap/>
            <w:vAlign w:val="center"/>
            <w:hideMark/>
          </w:tcPr>
          <w:p w14:paraId="672D4942" w14:textId="77777777" w:rsidR="003E1EA3" w:rsidRPr="003E1EA3" w:rsidRDefault="003E1EA3" w:rsidP="003E1EA3">
            <w:pPr>
              <w:jc w:val="center"/>
              <w:rPr>
                <w:rFonts w:cs="Arial"/>
                <w:color w:val="000000"/>
                <w:szCs w:val="24"/>
              </w:rPr>
            </w:pPr>
            <w:r w:rsidRPr="003E1EA3">
              <w:rPr>
                <w:rFonts w:cs="Arial"/>
                <w:color w:val="000000"/>
                <w:szCs w:val="24"/>
              </w:rPr>
              <w:t>-56.01</w:t>
            </w:r>
          </w:p>
        </w:tc>
      </w:tr>
      <w:tr w:rsidR="003E1EA3" w:rsidRPr="003E1EA3" w14:paraId="48C38BC2" w14:textId="77777777" w:rsidTr="003E1EA3">
        <w:trPr>
          <w:trHeight w:val="300"/>
        </w:trPr>
        <w:tc>
          <w:tcPr>
            <w:tcW w:w="3640" w:type="dxa"/>
            <w:tcBorders>
              <w:top w:val="nil"/>
              <w:left w:val="single" w:sz="4" w:space="0" w:color="auto"/>
              <w:bottom w:val="nil"/>
              <w:right w:val="single" w:sz="4" w:space="0" w:color="auto"/>
            </w:tcBorders>
            <w:shd w:val="clear" w:color="auto" w:fill="auto"/>
            <w:noWrap/>
            <w:vAlign w:val="center"/>
            <w:hideMark/>
          </w:tcPr>
          <w:p w14:paraId="3E3777D6" w14:textId="5D2CD97E" w:rsidR="003E1EA3" w:rsidRPr="003E1EA3" w:rsidRDefault="003E1EA3" w:rsidP="003E1EA3">
            <w:pPr>
              <w:jc w:val="both"/>
              <w:rPr>
                <w:rFonts w:cs="Arial"/>
                <w:color w:val="000000"/>
                <w:szCs w:val="24"/>
              </w:rPr>
            </w:pPr>
            <w:r>
              <w:rPr>
                <w:rFonts w:cs="Arial"/>
                <w:color w:val="000000"/>
              </w:rPr>
              <w:t>New Investments</w:t>
            </w:r>
          </w:p>
        </w:tc>
        <w:tc>
          <w:tcPr>
            <w:tcW w:w="1540" w:type="dxa"/>
            <w:tcBorders>
              <w:top w:val="nil"/>
              <w:left w:val="nil"/>
              <w:bottom w:val="nil"/>
              <w:right w:val="single" w:sz="4" w:space="0" w:color="auto"/>
            </w:tcBorders>
            <w:shd w:val="clear" w:color="auto" w:fill="auto"/>
            <w:noWrap/>
            <w:vAlign w:val="center"/>
            <w:hideMark/>
          </w:tcPr>
          <w:p w14:paraId="70FD180B" w14:textId="77777777" w:rsidR="003E1EA3" w:rsidRPr="003E1EA3" w:rsidRDefault="003E1EA3" w:rsidP="003E1EA3">
            <w:pPr>
              <w:jc w:val="center"/>
              <w:rPr>
                <w:rFonts w:cs="Arial"/>
                <w:color w:val="000000"/>
                <w:szCs w:val="24"/>
              </w:rPr>
            </w:pPr>
            <w:r w:rsidRPr="003E1EA3">
              <w:rPr>
                <w:rFonts w:cs="Arial"/>
                <w:color w:val="000000"/>
                <w:szCs w:val="24"/>
              </w:rPr>
              <w:t>66.95</w:t>
            </w:r>
          </w:p>
        </w:tc>
        <w:tc>
          <w:tcPr>
            <w:tcW w:w="1300" w:type="dxa"/>
            <w:tcBorders>
              <w:top w:val="nil"/>
              <w:left w:val="nil"/>
              <w:bottom w:val="nil"/>
              <w:right w:val="single" w:sz="4" w:space="0" w:color="auto"/>
            </w:tcBorders>
            <w:shd w:val="clear" w:color="auto" w:fill="auto"/>
            <w:noWrap/>
            <w:vAlign w:val="center"/>
            <w:hideMark/>
          </w:tcPr>
          <w:p w14:paraId="38904CE4" w14:textId="77777777" w:rsidR="003E1EA3" w:rsidRPr="003E1EA3" w:rsidRDefault="003E1EA3" w:rsidP="003E1EA3">
            <w:pPr>
              <w:jc w:val="center"/>
              <w:rPr>
                <w:rFonts w:cs="Arial"/>
                <w:color w:val="000000"/>
                <w:szCs w:val="24"/>
              </w:rPr>
            </w:pPr>
            <w:r w:rsidRPr="003E1EA3">
              <w:rPr>
                <w:rFonts w:cs="Arial"/>
                <w:color w:val="000000"/>
                <w:szCs w:val="24"/>
              </w:rPr>
              <w:t>0.00</w:t>
            </w:r>
          </w:p>
        </w:tc>
        <w:tc>
          <w:tcPr>
            <w:tcW w:w="1440" w:type="dxa"/>
            <w:tcBorders>
              <w:top w:val="nil"/>
              <w:left w:val="nil"/>
              <w:bottom w:val="nil"/>
              <w:right w:val="single" w:sz="4" w:space="0" w:color="auto"/>
            </w:tcBorders>
            <w:shd w:val="clear" w:color="auto" w:fill="auto"/>
            <w:noWrap/>
            <w:vAlign w:val="center"/>
            <w:hideMark/>
          </w:tcPr>
          <w:p w14:paraId="12E29A14" w14:textId="77777777" w:rsidR="003E1EA3" w:rsidRPr="003E1EA3" w:rsidRDefault="003E1EA3" w:rsidP="003E1EA3">
            <w:pPr>
              <w:jc w:val="center"/>
              <w:rPr>
                <w:rFonts w:cs="Arial"/>
                <w:color w:val="000000"/>
                <w:szCs w:val="24"/>
              </w:rPr>
            </w:pPr>
            <w:r w:rsidRPr="003E1EA3">
              <w:rPr>
                <w:rFonts w:cs="Arial"/>
                <w:color w:val="000000"/>
                <w:szCs w:val="24"/>
              </w:rPr>
              <w:t>0.33</w:t>
            </w:r>
          </w:p>
        </w:tc>
        <w:tc>
          <w:tcPr>
            <w:tcW w:w="1340" w:type="dxa"/>
            <w:tcBorders>
              <w:top w:val="nil"/>
              <w:left w:val="nil"/>
              <w:bottom w:val="nil"/>
              <w:right w:val="single" w:sz="4" w:space="0" w:color="auto"/>
            </w:tcBorders>
            <w:shd w:val="clear" w:color="auto" w:fill="auto"/>
            <w:noWrap/>
            <w:vAlign w:val="center"/>
            <w:hideMark/>
          </w:tcPr>
          <w:p w14:paraId="1A3D9D2D" w14:textId="77777777" w:rsidR="003E1EA3" w:rsidRPr="003E1EA3" w:rsidRDefault="003E1EA3" w:rsidP="003E1EA3">
            <w:pPr>
              <w:jc w:val="center"/>
              <w:rPr>
                <w:rFonts w:cs="Arial"/>
                <w:color w:val="000000"/>
                <w:szCs w:val="24"/>
              </w:rPr>
            </w:pPr>
            <w:r w:rsidRPr="003E1EA3">
              <w:rPr>
                <w:rFonts w:cs="Arial"/>
                <w:color w:val="000000"/>
                <w:szCs w:val="24"/>
              </w:rPr>
              <w:t>67.28</w:t>
            </w:r>
          </w:p>
        </w:tc>
      </w:tr>
      <w:tr w:rsidR="003E1EA3" w:rsidRPr="003E1EA3" w14:paraId="36A630C3" w14:textId="77777777" w:rsidTr="003E1EA3">
        <w:trPr>
          <w:trHeight w:val="315"/>
        </w:trPr>
        <w:tc>
          <w:tcPr>
            <w:tcW w:w="3640" w:type="dxa"/>
            <w:tcBorders>
              <w:top w:val="nil"/>
              <w:left w:val="single" w:sz="4" w:space="0" w:color="auto"/>
              <w:bottom w:val="nil"/>
              <w:right w:val="single" w:sz="4" w:space="0" w:color="auto"/>
            </w:tcBorders>
            <w:shd w:val="clear" w:color="auto" w:fill="auto"/>
            <w:noWrap/>
            <w:vAlign w:val="bottom"/>
            <w:hideMark/>
          </w:tcPr>
          <w:p w14:paraId="10D5651A" w14:textId="5998E905" w:rsidR="003E1EA3" w:rsidRPr="003E1EA3" w:rsidRDefault="003E1EA3" w:rsidP="003E1EA3">
            <w:pPr>
              <w:rPr>
                <w:rFonts w:ascii="Times New Roman" w:hAnsi="Times New Roman"/>
                <w:color w:val="000000"/>
                <w:szCs w:val="24"/>
              </w:rPr>
            </w:pPr>
            <w:r>
              <w:rPr>
                <w:color w:val="000000"/>
              </w:rPr>
              <w:t> </w:t>
            </w:r>
          </w:p>
        </w:tc>
        <w:tc>
          <w:tcPr>
            <w:tcW w:w="1540" w:type="dxa"/>
            <w:tcBorders>
              <w:top w:val="nil"/>
              <w:left w:val="nil"/>
              <w:bottom w:val="nil"/>
              <w:right w:val="single" w:sz="4" w:space="0" w:color="auto"/>
            </w:tcBorders>
            <w:shd w:val="clear" w:color="auto" w:fill="auto"/>
            <w:noWrap/>
            <w:vAlign w:val="bottom"/>
            <w:hideMark/>
          </w:tcPr>
          <w:p w14:paraId="65943ED4" w14:textId="77777777" w:rsidR="003E1EA3" w:rsidRPr="003E1EA3" w:rsidRDefault="003E1EA3" w:rsidP="003E1EA3">
            <w:pPr>
              <w:jc w:val="center"/>
              <w:rPr>
                <w:rFonts w:ascii="Times New Roman" w:hAnsi="Times New Roman"/>
                <w:color w:val="000000"/>
                <w:szCs w:val="24"/>
              </w:rPr>
            </w:pPr>
            <w:r w:rsidRPr="003E1EA3">
              <w:rPr>
                <w:rFonts w:ascii="Times New Roman" w:hAnsi="Times New Roman"/>
                <w:color w:val="000000"/>
                <w:szCs w:val="24"/>
              </w:rPr>
              <w:t> </w:t>
            </w:r>
          </w:p>
        </w:tc>
        <w:tc>
          <w:tcPr>
            <w:tcW w:w="1300" w:type="dxa"/>
            <w:tcBorders>
              <w:top w:val="nil"/>
              <w:left w:val="nil"/>
              <w:bottom w:val="nil"/>
              <w:right w:val="single" w:sz="4" w:space="0" w:color="auto"/>
            </w:tcBorders>
            <w:shd w:val="clear" w:color="auto" w:fill="auto"/>
            <w:noWrap/>
            <w:vAlign w:val="bottom"/>
            <w:hideMark/>
          </w:tcPr>
          <w:p w14:paraId="033B478D" w14:textId="77777777" w:rsidR="003E1EA3" w:rsidRPr="003E1EA3" w:rsidRDefault="003E1EA3" w:rsidP="003E1EA3">
            <w:pPr>
              <w:jc w:val="center"/>
              <w:rPr>
                <w:rFonts w:ascii="Times New Roman" w:hAnsi="Times New Roman"/>
                <w:color w:val="000000"/>
                <w:szCs w:val="24"/>
              </w:rPr>
            </w:pPr>
            <w:r w:rsidRPr="003E1EA3">
              <w:rPr>
                <w:rFonts w:ascii="Times New Roman" w:hAnsi="Times New Roman"/>
                <w:color w:val="000000"/>
                <w:szCs w:val="24"/>
              </w:rPr>
              <w:t> </w:t>
            </w:r>
          </w:p>
        </w:tc>
        <w:tc>
          <w:tcPr>
            <w:tcW w:w="1440" w:type="dxa"/>
            <w:tcBorders>
              <w:top w:val="nil"/>
              <w:left w:val="nil"/>
              <w:bottom w:val="nil"/>
              <w:right w:val="single" w:sz="4" w:space="0" w:color="auto"/>
            </w:tcBorders>
            <w:shd w:val="clear" w:color="auto" w:fill="auto"/>
            <w:noWrap/>
            <w:vAlign w:val="bottom"/>
            <w:hideMark/>
          </w:tcPr>
          <w:p w14:paraId="14349B5B" w14:textId="77777777" w:rsidR="003E1EA3" w:rsidRPr="003E1EA3" w:rsidRDefault="003E1EA3" w:rsidP="003E1EA3">
            <w:pPr>
              <w:jc w:val="center"/>
              <w:rPr>
                <w:rFonts w:ascii="Times New Roman" w:hAnsi="Times New Roman"/>
                <w:color w:val="000000"/>
                <w:szCs w:val="24"/>
              </w:rPr>
            </w:pPr>
            <w:r w:rsidRPr="003E1EA3">
              <w:rPr>
                <w:rFonts w:ascii="Times New Roman" w:hAnsi="Times New Roman"/>
                <w:color w:val="000000"/>
                <w:szCs w:val="24"/>
              </w:rPr>
              <w:t> </w:t>
            </w:r>
          </w:p>
        </w:tc>
        <w:tc>
          <w:tcPr>
            <w:tcW w:w="1340" w:type="dxa"/>
            <w:tcBorders>
              <w:top w:val="nil"/>
              <w:left w:val="nil"/>
              <w:bottom w:val="nil"/>
              <w:right w:val="single" w:sz="4" w:space="0" w:color="auto"/>
            </w:tcBorders>
            <w:shd w:val="clear" w:color="auto" w:fill="auto"/>
            <w:noWrap/>
            <w:vAlign w:val="bottom"/>
            <w:hideMark/>
          </w:tcPr>
          <w:p w14:paraId="4138AF34" w14:textId="77777777" w:rsidR="003E1EA3" w:rsidRPr="003E1EA3" w:rsidRDefault="003E1EA3" w:rsidP="003E1EA3">
            <w:pPr>
              <w:jc w:val="center"/>
              <w:rPr>
                <w:rFonts w:ascii="Times New Roman" w:hAnsi="Times New Roman"/>
                <w:color w:val="000000"/>
                <w:szCs w:val="24"/>
              </w:rPr>
            </w:pPr>
            <w:r w:rsidRPr="003E1EA3">
              <w:rPr>
                <w:rFonts w:ascii="Times New Roman" w:hAnsi="Times New Roman"/>
                <w:color w:val="000000"/>
                <w:szCs w:val="24"/>
              </w:rPr>
              <w:t> </w:t>
            </w:r>
          </w:p>
        </w:tc>
      </w:tr>
      <w:tr w:rsidR="003E1EA3" w:rsidRPr="003E1EA3" w14:paraId="50F39B24" w14:textId="77777777" w:rsidTr="003E1EA3">
        <w:trPr>
          <w:trHeight w:val="31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97EA3" w14:textId="0BBA7859" w:rsidR="003E1EA3" w:rsidRPr="003E1EA3" w:rsidRDefault="003E1EA3" w:rsidP="003E1EA3">
            <w:pPr>
              <w:jc w:val="both"/>
              <w:rPr>
                <w:rFonts w:cs="Arial"/>
                <w:b/>
                <w:bCs/>
                <w:color w:val="000000"/>
                <w:szCs w:val="24"/>
              </w:rPr>
            </w:pPr>
            <w:r>
              <w:rPr>
                <w:rFonts w:cs="Arial"/>
                <w:b/>
                <w:bCs/>
                <w:color w:val="000000"/>
              </w:rPr>
              <w:t>Balance 30 November 2015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16BE5DE" w14:textId="77777777" w:rsidR="003E1EA3" w:rsidRPr="003E1EA3" w:rsidRDefault="003E1EA3" w:rsidP="003E1EA3">
            <w:pPr>
              <w:jc w:val="center"/>
              <w:rPr>
                <w:rFonts w:cs="Arial"/>
                <w:b/>
                <w:bCs/>
                <w:color w:val="000000"/>
                <w:szCs w:val="24"/>
              </w:rPr>
            </w:pPr>
            <w:r w:rsidRPr="003E1EA3">
              <w:rPr>
                <w:rFonts w:cs="Arial"/>
                <w:b/>
                <w:bCs/>
                <w:color w:val="000000"/>
                <w:szCs w:val="24"/>
              </w:rPr>
              <w:t>91.79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35E4765" w14:textId="77777777" w:rsidR="003E1EA3" w:rsidRPr="003E1EA3" w:rsidRDefault="003E1EA3" w:rsidP="003E1EA3">
            <w:pPr>
              <w:jc w:val="center"/>
              <w:rPr>
                <w:rFonts w:cs="Arial"/>
                <w:b/>
                <w:bCs/>
                <w:color w:val="000000"/>
                <w:szCs w:val="24"/>
              </w:rPr>
            </w:pPr>
            <w:r w:rsidRPr="003E1EA3">
              <w:rPr>
                <w:rFonts w:cs="Arial"/>
                <w:b/>
                <w:bCs/>
                <w:color w:val="000000"/>
                <w:szCs w:val="24"/>
              </w:rPr>
              <w:t>56.50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2E5CE0D" w14:textId="77777777" w:rsidR="003E1EA3" w:rsidRPr="003E1EA3" w:rsidRDefault="003E1EA3" w:rsidP="003E1EA3">
            <w:pPr>
              <w:jc w:val="center"/>
              <w:rPr>
                <w:rFonts w:cs="Arial"/>
                <w:b/>
                <w:bCs/>
                <w:color w:val="000000"/>
                <w:szCs w:val="24"/>
              </w:rPr>
            </w:pPr>
            <w:r w:rsidRPr="003E1EA3">
              <w:rPr>
                <w:rFonts w:cs="Arial"/>
                <w:b/>
                <w:bCs/>
                <w:color w:val="000000"/>
                <w:szCs w:val="24"/>
              </w:rPr>
              <w:t>39.79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51E92D4" w14:textId="77777777" w:rsidR="003E1EA3" w:rsidRPr="003E1EA3" w:rsidRDefault="003E1EA3" w:rsidP="003E1EA3">
            <w:pPr>
              <w:jc w:val="center"/>
              <w:rPr>
                <w:rFonts w:cs="Arial"/>
                <w:b/>
                <w:bCs/>
                <w:color w:val="000000"/>
                <w:szCs w:val="24"/>
              </w:rPr>
            </w:pPr>
            <w:r w:rsidRPr="003E1EA3">
              <w:rPr>
                <w:rFonts w:cs="Arial"/>
                <w:b/>
                <w:bCs/>
                <w:color w:val="000000"/>
                <w:szCs w:val="24"/>
              </w:rPr>
              <w:t>188.07</w:t>
            </w:r>
          </w:p>
        </w:tc>
      </w:tr>
      <w:tr w:rsidR="003E1EA3" w:rsidRPr="003E1EA3" w14:paraId="4EC2195E" w14:textId="77777777" w:rsidTr="003E1EA3">
        <w:trPr>
          <w:trHeight w:val="315"/>
        </w:trPr>
        <w:tc>
          <w:tcPr>
            <w:tcW w:w="3640" w:type="dxa"/>
            <w:tcBorders>
              <w:top w:val="nil"/>
              <w:left w:val="single" w:sz="4" w:space="0" w:color="auto"/>
              <w:bottom w:val="nil"/>
              <w:right w:val="single" w:sz="4" w:space="0" w:color="auto"/>
            </w:tcBorders>
            <w:shd w:val="clear" w:color="auto" w:fill="auto"/>
            <w:noWrap/>
            <w:vAlign w:val="center"/>
            <w:hideMark/>
          </w:tcPr>
          <w:p w14:paraId="2C93A2E6" w14:textId="39C92A6E" w:rsidR="003E1EA3" w:rsidRPr="003E1EA3" w:rsidRDefault="003E1EA3" w:rsidP="003E1EA3">
            <w:pPr>
              <w:jc w:val="both"/>
              <w:rPr>
                <w:rFonts w:cs="Arial"/>
                <w:b/>
                <w:bCs/>
                <w:color w:val="000000"/>
                <w:szCs w:val="24"/>
              </w:rPr>
            </w:pPr>
            <w:r>
              <w:rPr>
                <w:rFonts w:cs="Arial"/>
                <w:b/>
                <w:bCs/>
                <w:color w:val="000000"/>
              </w:rPr>
              <w:t> </w:t>
            </w:r>
          </w:p>
        </w:tc>
        <w:tc>
          <w:tcPr>
            <w:tcW w:w="1540" w:type="dxa"/>
            <w:tcBorders>
              <w:top w:val="nil"/>
              <w:left w:val="nil"/>
              <w:bottom w:val="nil"/>
              <w:right w:val="single" w:sz="4" w:space="0" w:color="auto"/>
            </w:tcBorders>
            <w:shd w:val="clear" w:color="auto" w:fill="auto"/>
            <w:noWrap/>
            <w:vAlign w:val="center"/>
            <w:hideMark/>
          </w:tcPr>
          <w:p w14:paraId="36DD1DD5" w14:textId="77777777" w:rsidR="003E1EA3" w:rsidRPr="003E1EA3" w:rsidRDefault="003E1EA3" w:rsidP="003E1EA3">
            <w:pPr>
              <w:jc w:val="center"/>
              <w:rPr>
                <w:rFonts w:cs="Arial"/>
                <w:b/>
                <w:bCs/>
                <w:color w:val="000000"/>
                <w:szCs w:val="24"/>
              </w:rPr>
            </w:pPr>
            <w:r w:rsidRPr="003E1EA3">
              <w:rPr>
                <w:rFonts w:cs="Arial"/>
                <w:b/>
                <w:bCs/>
                <w:color w:val="000000"/>
                <w:szCs w:val="24"/>
              </w:rPr>
              <w:t> </w:t>
            </w:r>
          </w:p>
        </w:tc>
        <w:tc>
          <w:tcPr>
            <w:tcW w:w="1300" w:type="dxa"/>
            <w:tcBorders>
              <w:top w:val="nil"/>
              <w:left w:val="nil"/>
              <w:bottom w:val="nil"/>
              <w:right w:val="single" w:sz="4" w:space="0" w:color="auto"/>
            </w:tcBorders>
            <w:shd w:val="clear" w:color="auto" w:fill="auto"/>
            <w:noWrap/>
            <w:vAlign w:val="center"/>
            <w:hideMark/>
          </w:tcPr>
          <w:p w14:paraId="5BCE4AC5" w14:textId="77777777" w:rsidR="003E1EA3" w:rsidRPr="003E1EA3" w:rsidRDefault="003E1EA3" w:rsidP="003E1EA3">
            <w:pPr>
              <w:jc w:val="center"/>
              <w:rPr>
                <w:rFonts w:cs="Arial"/>
                <w:b/>
                <w:bCs/>
                <w:color w:val="000000"/>
                <w:szCs w:val="24"/>
              </w:rPr>
            </w:pPr>
            <w:r w:rsidRPr="003E1EA3">
              <w:rPr>
                <w:rFonts w:cs="Arial"/>
                <w:b/>
                <w:bCs/>
                <w:color w:val="000000"/>
                <w:szCs w:val="24"/>
              </w:rPr>
              <w:t> </w:t>
            </w:r>
          </w:p>
        </w:tc>
        <w:tc>
          <w:tcPr>
            <w:tcW w:w="1440" w:type="dxa"/>
            <w:tcBorders>
              <w:top w:val="nil"/>
              <w:left w:val="nil"/>
              <w:bottom w:val="nil"/>
              <w:right w:val="single" w:sz="4" w:space="0" w:color="auto"/>
            </w:tcBorders>
            <w:shd w:val="clear" w:color="auto" w:fill="auto"/>
            <w:noWrap/>
            <w:vAlign w:val="center"/>
            <w:hideMark/>
          </w:tcPr>
          <w:p w14:paraId="141751F8" w14:textId="77777777" w:rsidR="003E1EA3" w:rsidRPr="003E1EA3" w:rsidRDefault="003E1EA3" w:rsidP="003E1EA3">
            <w:pPr>
              <w:jc w:val="center"/>
              <w:rPr>
                <w:rFonts w:cs="Arial"/>
                <w:b/>
                <w:bCs/>
                <w:color w:val="000000"/>
                <w:szCs w:val="24"/>
              </w:rPr>
            </w:pPr>
            <w:r w:rsidRPr="003E1EA3">
              <w:rPr>
                <w:rFonts w:cs="Arial"/>
                <w:b/>
                <w:bCs/>
                <w:color w:val="000000"/>
                <w:szCs w:val="24"/>
              </w:rPr>
              <w:t> </w:t>
            </w:r>
          </w:p>
        </w:tc>
        <w:tc>
          <w:tcPr>
            <w:tcW w:w="1340" w:type="dxa"/>
            <w:tcBorders>
              <w:top w:val="nil"/>
              <w:left w:val="nil"/>
              <w:bottom w:val="nil"/>
              <w:right w:val="single" w:sz="4" w:space="0" w:color="auto"/>
            </w:tcBorders>
            <w:shd w:val="clear" w:color="auto" w:fill="auto"/>
            <w:noWrap/>
            <w:vAlign w:val="center"/>
            <w:hideMark/>
          </w:tcPr>
          <w:p w14:paraId="5DB047DF" w14:textId="77777777" w:rsidR="003E1EA3" w:rsidRPr="003E1EA3" w:rsidRDefault="003E1EA3" w:rsidP="003E1EA3">
            <w:pPr>
              <w:jc w:val="center"/>
              <w:rPr>
                <w:rFonts w:cs="Arial"/>
                <w:b/>
                <w:bCs/>
                <w:color w:val="000000"/>
                <w:szCs w:val="24"/>
              </w:rPr>
            </w:pPr>
            <w:r w:rsidRPr="003E1EA3">
              <w:rPr>
                <w:rFonts w:cs="Arial"/>
                <w:b/>
                <w:bCs/>
                <w:color w:val="000000"/>
                <w:szCs w:val="24"/>
              </w:rPr>
              <w:t> </w:t>
            </w:r>
          </w:p>
        </w:tc>
      </w:tr>
      <w:tr w:rsidR="003E1EA3" w:rsidRPr="003E1EA3" w14:paraId="0D350827" w14:textId="77777777" w:rsidTr="003E1EA3">
        <w:trPr>
          <w:trHeight w:val="315"/>
        </w:trPr>
        <w:tc>
          <w:tcPr>
            <w:tcW w:w="3640" w:type="dxa"/>
            <w:tcBorders>
              <w:top w:val="single" w:sz="4" w:space="0" w:color="auto"/>
              <w:left w:val="single" w:sz="4" w:space="0" w:color="auto"/>
              <w:bottom w:val="nil"/>
              <w:right w:val="single" w:sz="4" w:space="0" w:color="auto"/>
            </w:tcBorders>
            <w:shd w:val="clear" w:color="auto" w:fill="auto"/>
            <w:noWrap/>
            <w:vAlign w:val="center"/>
            <w:hideMark/>
          </w:tcPr>
          <w:p w14:paraId="0753FF72" w14:textId="093CFB73" w:rsidR="003E1EA3" w:rsidRPr="003E1EA3" w:rsidRDefault="003E1EA3" w:rsidP="003E1EA3">
            <w:pPr>
              <w:rPr>
                <w:rFonts w:cs="Arial"/>
                <w:b/>
                <w:bCs/>
                <w:color w:val="000000"/>
                <w:szCs w:val="24"/>
              </w:rPr>
            </w:pPr>
            <w:r>
              <w:rPr>
                <w:rFonts w:cs="Arial"/>
                <w:b/>
                <w:bCs/>
                <w:color w:val="000000"/>
              </w:rPr>
              <w:t>Bonds</w:t>
            </w:r>
          </w:p>
        </w:tc>
        <w:tc>
          <w:tcPr>
            <w:tcW w:w="1540" w:type="dxa"/>
            <w:tcBorders>
              <w:top w:val="single" w:sz="4" w:space="0" w:color="auto"/>
              <w:left w:val="nil"/>
              <w:bottom w:val="nil"/>
              <w:right w:val="single" w:sz="4" w:space="0" w:color="auto"/>
            </w:tcBorders>
            <w:shd w:val="clear" w:color="auto" w:fill="auto"/>
            <w:noWrap/>
            <w:vAlign w:val="center"/>
            <w:hideMark/>
          </w:tcPr>
          <w:p w14:paraId="3C7B7927" w14:textId="77777777" w:rsidR="003E1EA3" w:rsidRPr="003E1EA3" w:rsidRDefault="003E1EA3" w:rsidP="003E1EA3">
            <w:pPr>
              <w:jc w:val="center"/>
              <w:rPr>
                <w:rFonts w:cs="Arial"/>
                <w:b/>
                <w:bCs/>
                <w:color w:val="000000"/>
                <w:szCs w:val="24"/>
              </w:rPr>
            </w:pPr>
            <w:r w:rsidRPr="003E1EA3">
              <w:rPr>
                <w:rFonts w:cs="Arial"/>
                <w:b/>
                <w:bCs/>
                <w:color w:val="000000"/>
                <w:szCs w:val="24"/>
              </w:rPr>
              <w:t>LA Bonds</w:t>
            </w:r>
          </w:p>
        </w:tc>
        <w:tc>
          <w:tcPr>
            <w:tcW w:w="1300" w:type="dxa"/>
            <w:tcBorders>
              <w:top w:val="single" w:sz="4" w:space="0" w:color="auto"/>
              <w:left w:val="nil"/>
              <w:bottom w:val="nil"/>
              <w:right w:val="single" w:sz="4" w:space="0" w:color="auto"/>
            </w:tcBorders>
            <w:shd w:val="clear" w:color="auto" w:fill="auto"/>
            <w:noWrap/>
            <w:vAlign w:val="center"/>
            <w:hideMark/>
          </w:tcPr>
          <w:p w14:paraId="67E3A49B" w14:textId="77777777" w:rsidR="003E1EA3" w:rsidRPr="003E1EA3" w:rsidRDefault="003E1EA3" w:rsidP="003E1EA3">
            <w:pPr>
              <w:jc w:val="center"/>
              <w:rPr>
                <w:rFonts w:cs="Arial"/>
                <w:b/>
                <w:bCs/>
                <w:color w:val="000000"/>
                <w:szCs w:val="24"/>
              </w:rPr>
            </w:pPr>
            <w:r w:rsidRPr="003E1EA3">
              <w:rPr>
                <w:rFonts w:cs="Arial"/>
                <w:b/>
                <w:bCs/>
                <w:color w:val="000000"/>
                <w:szCs w:val="24"/>
              </w:rPr>
              <w:t>Gilts</w:t>
            </w:r>
          </w:p>
        </w:tc>
        <w:tc>
          <w:tcPr>
            <w:tcW w:w="1440" w:type="dxa"/>
            <w:tcBorders>
              <w:top w:val="single" w:sz="4" w:space="0" w:color="auto"/>
              <w:left w:val="nil"/>
              <w:bottom w:val="nil"/>
              <w:right w:val="single" w:sz="4" w:space="0" w:color="auto"/>
            </w:tcBorders>
            <w:shd w:val="clear" w:color="auto" w:fill="auto"/>
            <w:noWrap/>
            <w:vAlign w:val="center"/>
            <w:hideMark/>
          </w:tcPr>
          <w:p w14:paraId="232ECD8A" w14:textId="77777777" w:rsidR="003E1EA3" w:rsidRPr="003E1EA3" w:rsidRDefault="003E1EA3" w:rsidP="003E1EA3">
            <w:pPr>
              <w:jc w:val="center"/>
              <w:rPr>
                <w:rFonts w:cs="Arial"/>
                <w:b/>
                <w:bCs/>
                <w:color w:val="000000"/>
                <w:szCs w:val="24"/>
              </w:rPr>
            </w:pPr>
            <w:r w:rsidRPr="003E1EA3">
              <w:rPr>
                <w:rFonts w:cs="Arial"/>
                <w:b/>
                <w:bCs/>
                <w:color w:val="000000"/>
                <w:szCs w:val="24"/>
              </w:rPr>
              <w:t>Others</w:t>
            </w:r>
          </w:p>
        </w:tc>
        <w:tc>
          <w:tcPr>
            <w:tcW w:w="1340" w:type="dxa"/>
            <w:tcBorders>
              <w:top w:val="single" w:sz="4" w:space="0" w:color="auto"/>
              <w:left w:val="nil"/>
              <w:bottom w:val="nil"/>
              <w:right w:val="single" w:sz="4" w:space="0" w:color="auto"/>
            </w:tcBorders>
            <w:shd w:val="clear" w:color="auto" w:fill="auto"/>
            <w:noWrap/>
            <w:vAlign w:val="center"/>
            <w:hideMark/>
          </w:tcPr>
          <w:p w14:paraId="558FEAF1" w14:textId="120D2CB5" w:rsidR="003E1EA3" w:rsidRPr="003E1EA3" w:rsidRDefault="003E1EA3" w:rsidP="003E1EA3">
            <w:pPr>
              <w:rPr>
                <w:rFonts w:cs="Arial"/>
                <w:b/>
                <w:bCs/>
                <w:color w:val="000000"/>
                <w:szCs w:val="24"/>
              </w:rPr>
            </w:pPr>
            <w:r>
              <w:rPr>
                <w:rFonts w:cs="Arial"/>
                <w:b/>
                <w:bCs/>
                <w:color w:val="000000"/>
                <w:szCs w:val="24"/>
              </w:rPr>
              <w:t xml:space="preserve">   </w:t>
            </w:r>
            <w:r w:rsidRPr="003E1EA3">
              <w:rPr>
                <w:rFonts w:cs="Arial"/>
                <w:b/>
                <w:bCs/>
                <w:color w:val="000000"/>
                <w:szCs w:val="24"/>
              </w:rPr>
              <w:t xml:space="preserve">Total </w:t>
            </w:r>
          </w:p>
        </w:tc>
      </w:tr>
      <w:tr w:rsidR="003E1EA3" w:rsidRPr="003E1EA3" w14:paraId="788C8170" w14:textId="77777777" w:rsidTr="003E1EA3">
        <w:trPr>
          <w:trHeight w:val="3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46868986" w14:textId="713EB9AE" w:rsidR="003E1EA3" w:rsidRPr="003E1EA3" w:rsidRDefault="003E1EA3" w:rsidP="003E1EA3">
            <w:pPr>
              <w:rPr>
                <w:rFonts w:ascii="Times New Roman" w:hAnsi="Times New Roman"/>
                <w:color w:val="000000"/>
                <w:szCs w:val="24"/>
              </w:rPr>
            </w:pPr>
            <w:r>
              <w:rPr>
                <w:color w:val="000000"/>
              </w:rPr>
              <w:t> </w:t>
            </w:r>
          </w:p>
        </w:tc>
        <w:tc>
          <w:tcPr>
            <w:tcW w:w="1540" w:type="dxa"/>
            <w:tcBorders>
              <w:top w:val="nil"/>
              <w:left w:val="nil"/>
              <w:bottom w:val="single" w:sz="4" w:space="0" w:color="auto"/>
              <w:right w:val="single" w:sz="4" w:space="0" w:color="auto"/>
            </w:tcBorders>
            <w:shd w:val="clear" w:color="auto" w:fill="auto"/>
            <w:noWrap/>
            <w:vAlign w:val="center"/>
            <w:hideMark/>
          </w:tcPr>
          <w:p w14:paraId="3256ACDA" w14:textId="77777777" w:rsidR="003E1EA3" w:rsidRPr="003E1EA3" w:rsidRDefault="003E1EA3" w:rsidP="003E1EA3">
            <w:pPr>
              <w:jc w:val="center"/>
              <w:rPr>
                <w:rFonts w:cs="Arial"/>
                <w:b/>
                <w:bCs/>
                <w:color w:val="000000"/>
                <w:szCs w:val="24"/>
              </w:rPr>
            </w:pPr>
            <w:r w:rsidRPr="003E1EA3">
              <w:rPr>
                <w:rFonts w:cs="Arial"/>
                <w:b/>
                <w:bCs/>
                <w:color w:val="000000"/>
                <w:szCs w:val="24"/>
              </w:rPr>
              <w:t>£m</w:t>
            </w:r>
          </w:p>
        </w:tc>
        <w:tc>
          <w:tcPr>
            <w:tcW w:w="1300" w:type="dxa"/>
            <w:tcBorders>
              <w:top w:val="nil"/>
              <w:left w:val="nil"/>
              <w:bottom w:val="single" w:sz="4" w:space="0" w:color="auto"/>
              <w:right w:val="single" w:sz="4" w:space="0" w:color="auto"/>
            </w:tcBorders>
            <w:shd w:val="clear" w:color="auto" w:fill="auto"/>
            <w:noWrap/>
            <w:vAlign w:val="center"/>
            <w:hideMark/>
          </w:tcPr>
          <w:p w14:paraId="4231F280" w14:textId="77777777" w:rsidR="003E1EA3" w:rsidRPr="003E1EA3" w:rsidRDefault="003E1EA3" w:rsidP="003E1EA3">
            <w:pPr>
              <w:jc w:val="center"/>
              <w:rPr>
                <w:rFonts w:cs="Arial"/>
                <w:b/>
                <w:bCs/>
                <w:color w:val="000000"/>
                <w:szCs w:val="24"/>
              </w:rPr>
            </w:pPr>
            <w:r w:rsidRPr="003E1EA3">
              <w:rPr>
                <w:rFonts w:cs="Arial"/>
                <w:b/>
                <w:bCs/>
                <w:color w:val="000000"/>
                <w:szCs w:val="24"/>
              </w:rPr>
              <w:t>£m</w:t>
            </w:r>
          </w:p>
        </w:tc>
        <w:tc>
          <w:tcPr>
            <w:tcW w:w="1440" w:type="dxa"/>
            <w:tcBorders>
              <w:top w:val="nil"/>
              <w:left w:val="nil"/>
              <w:bottom w:val="single" w:sz="4" w:space="0" w:color="auto"/>
              <w:right w:val="single" w:sz="4" w:space="0" w:color="auto"/>
            </w:tcBorders>
            <w:shd w:val="clear" w:color="auto" w:fill="auto"/>
            <w:noWrap/>
            <w:vAlign w:val="center"/>
            <w:hideMark/>
          </w:tcPr>
          <w:p w14:paraId="1130E109" w14:textId="77777777" w:rsidR="003E1EA3" w:rsidRPr="003E1EA3" w:rsidRDefault="003E1EA3" w:rsidP="003E1EA3">
            <w:pPr>
              <w:jc w:val="center"/>
              <w:rPr>
                <w:rFonts w:cs="Arial"/>
                <w:b/>
                <w:bCs/>
                <w:color w:val="000000"/>
                <w:szCs w:val="24"/>
              </w:rPr>
            </w:pPr>
            <w:r w:rsidRPr="003E1EA3">
              <w:rPr>
                <w:rFonts w:cs="Arial"/>
                <w:b/>
                <w:bCs/>
                <w:color w:val="000000"/>
                <w:szCs w:val="24"/>
              </w:rPr>
              <w:t>£m</w:t>
            </w:r>
          </w:p>
        </w:tc>
        <w:tc>
          <w:tcPr>
            <w:tcW w:w="1340" w:type="dxa"/>
            <w:tcBorders>
              <w:top w:val="nil"/>
              <w:left w:val="nil"/>
              <w:bottom w:val="single" w:sz="4" w:space="0" w:color="auto"/>
              <w:right w:val="single" w:sz="4" w:space="0" w:color="auto"/>
            </w:tcBorders>
            <w:shd w:val="clear" w:color="auto" w:fill="auto"/>
            <w:noWrap/>
            <w:vAlign w:val="center"/>
            <w:hideMark/>
          </w:tcPr>
          <w:p w14:paraId="1B35C327" w14:textId="77777777" w:rsidR="003E1EA3" w:rsidRPr="003E1EA3" w:rsidRDefault="003E1EA3" w:rsidP="003E1EA3">
            <w:pPr>
              <w:jc w:val="center"/>
              <w:rPr>
                <w:rFonts w:cs="Arial"/>
                <w:b/>
                <w:bCs/>
                <w:color w:val="000000"/>
                <w:szCs w:val="24"/>
              </w:rPr>
            </w:pPr>
            <w:r w:rsidRPr="003E1EA3">
              <w:rPr>
                <w:rFonts w:cs="Arial"/>
                <w:b/>
                <w:bCs/>
                <w:color w:val="000000"/>
                <w:szCs w:val="24"/>
              </w:rPr>
              <w:t>£m</w:t>
            </w:r>
          </w:p>
        </w:tc>
      </w:tr>
      <w:tr w:rsidR="003E1EA3" w:rsidRPr="003E1EA3" w14:paraId="5E591135" w14:textId="77777777" w:rsidTr="003E1EA3">
        <w:trPr>
          <w:trHeight w:val="315"/>
        </w:trPr>
        <w:tc>
          <w:tcPr>
            <w:tcW w:w="3640" w:type="dxa"/>
            <w:tcBorders>
              <w:top w:val="nil"/>
              <w:left w:val="single" w:sz="4" w:space="0" w:color="auto"/>
              <w:bottom w:val="nil"/>
              <w:right w:val="single" w:sz="4" w:space="0" w:color="auto"/>
            </w:tcBorders>
            <w:shd w:val="clear" w:color="auto" w:fill="auto"/>
            <w:noWrap/>
            <w:vAlign w:val="center"/>
            <w:hideMark/>
          </w:tcPr>
          <w:p w14:paraId="414E9076" w14:textId="02E3F40E" w:rsidR="003E1EA3" w:rsidRPr="003E1EA3" w:rsidRDefault="003E1EA3" w:rsidP="003E1EA3">
            <w:pPr>
              <w:jc w:val="both"/>
              <w:rPr>
                <w:rFonts w:cs="Arial"/>
                <w:b/>
                <w:bCs/>
                <w:color w:val="000000"/>
                <w:szCs w:val="24"/>
              </w:rPr>
            </w:pPr>
            <w:r>
              <w:rPr>
                <w:rFonts w:cs="Arial"/>
                <w:b/>
                <w:bCs/>
                <w:color w:val="000000"/>
              </w:rPr>
              <w:t>Balance 1 August 2015</w:t>
            </w:r>
          </w:p>
        </w:tc>
        <w:tc>
          <w:tcPr>
            <w:tcW w:w="1540" w:type="dxa"/>
            <w:tcBorders>
              <w:top w:val="nil"/>
              <w:left w:val="nil"/>
              <w:bottom w:val="nil"/>
              <w:right w:val="single" w:sz="4" w:space="0" w:color="auto"/>
            </w:tcBorders>
            <w:shd w:val="clear" w:color="auto" w:fill="auto"/>
            <w:noWrap/>
            <w:vAlign w:val="center"/>
            <w:hideMark/>
          </w:tcPr>
          <w:p w14:paraId="7E08D28F" w14:textId="77777777" w:rsidR="003E1EA3" w:rsidRPr="003E1EA3" w:rsidRDefault="003E1EA3" w:rsidP="003E1EA3">
            <w:pPr>
              <w:jc w:val="center"/>
              <w:rPr>
                <w:rFonts w:cs="Arial"/>
                <w:b/>
                <w:bCs/>
                <w:color w:val="000000"/>
                <w:szCs w:val="24"/>
              </w:rPr>
            </w:pPr>
            <w:r w:rsidRPr="003E1EA3">
              <w:rPr>
                <w:rFonts w:cs="Arial"/>
                <w:b/>
                <w:bCs/>
                <w:color w:val="000000"/>
                <w:szCs w:val="24"/>
              </w:rPr>
              <w:t>36.29</w:t>
            </w:r>
          </w:p>
        </w:tc>
        <w:tc>
          <w:tcPr>
            <w:tcW w:w="1300" w:type="dxa"/>
            <w:tcBorders>
              <w:top w:val="nil"/>
              <w:left w:val="nil"/>
              <w:bottom w:val="nil"/>
              <w:right w:val="single" w:sz="4" w:space="0" w:color="auto"/>
            </w:tcBorders>
            <w:shd w:val="clear" w:color="auto" w:fill="auto"/>
            <w:noWrap/>
            <w:vAlign w:val="center"/>
            <w:hideMark/>
          </w:tcPr>
          <w:p w14:paraId="3382B408" w14:textId="77777777" w:rsidR="003E1EA3" w:rsidRPr="003E1EA3" w:rsidRDefault="003E1EA3" w:rsidP="003E1EA3">
            <w:pPr>
              <w:jc w:val="center"/>
              <w:rPr>
                <w:rFonts w:cs="Arial"/>
                <w:b/>
                <w:bCs/>
                <w:color w:val="000000"/>
                <w:szCs w:val="24"/>
              </w:rPr>
            </w:pPr>
            <w:r w:rsidRPr="003E1EA3">
              <w:rPr>
                <w:rFonts w:cs="Arial"/>
                <w:b/>
                <w:bCs/>
                <w:color w:val="000000"/>
                <w:szCs w:val="24"/>
              </w:rPr>
              <w:t>294.28</w:t>
            </w:r>
          </w:p>
        </w:tc>
        <w:tc>
          <w:tcPr>
            <w:tcW w:w="1440" w:type="dxa"/>
            <w:tcBorders>
              <w:top w:val="nil"/>
              <w:left w:val="nil"/>
              <w:bottom w:val="nil"/>
              <w:right w:val="single" w:sz="4" w:space="0" w:color="auto"/>
            </w:tcBorders>
            <w:shd w:val="clear" w:color="auto" w:fill="auto"/>
            <w:noWrap/>
            <w:vAlign w:val="center"/>
            <w:hideMark/>
          </w:tcPr>
          <w:p w14:paraId="384168F4" w14:textId="77777777" w:rsidR="003E1EA3" w:rsidRPr="003E1EA3" w:rsidRDefault="003E1EA3" w:rsidP="003E1EA3">
            <w:pPr>
              <w:jc w:val="center"/>
              <w:rPr>
                <w:rFonts w:cs="Arial"/>
                <w:b/>
                <w:bCs/>
                <w:color w:val="000000"/>
                <w:szCs w:val="24"/>
              </w:rPr>
            </w:pPr>
            <w:r w:rsidRPr="003E1EA3">
              <w:rPr>
                <w:rFonts w:cs="Arial"/>
                <w:b/>
                <w:bCs/>
                <w:color w:val="000000"/>
                <w:szCs w:val="24"/>
              </w:rPr>
              <w:t>204.56</w:t>
            </w:r>
          </w:p>
        </w:tc>
        <w:tc>
          <w:tcPr>
            <w:tcW w:w="1340" w:type="dxa"/>
            <w:tcBorders>
              <w:top w:val="nil"/>
              <w:left w:val="nil"/>
              <w:bottom w:val="nil"/>
              <w:right w:val="single" w:sz="4" w:space="0" w:color="auto"/>
            </w:tcBorders>
            <w:shd w:val="clear" w:color="auto" w:fill="auto"/>
            <w:noWrap/>
            <w:vAlign w:val="center"/>
            <w:hideMark/>
          </w:tcPr>
          <w:p w14:paraId="40642E82" w14:textId="77777777" w:rsidR="003E1EA3" w:rsidRPr="003E1EA3" w:rsidRDefault="003E1EA3" w:rsidP="003E1EA3">
            <w:pPr>
              <w:jc w:val="center"/>
              <w:rPr>
                <w:rFonts w:cs="Arial"/>
                <w:b/>
                <w:bCs/>
                <w:color w:val="000000"/>
                <w:szCs w:val="24"/>
              </w:rPr>
            </w:pPr>
            <w:r w:rsidRPr="003E1EA3">
              <w:rPr>
                <w:rFonts w:cs="Arial"/>
                <w:b/>
                <w:bCs/>
                <w:color w:val="000000"/>
                <w:szCs w:val="24"/>
              </w:rPr>
              <w:t>535.13</w:t>
            </w:r>
          </w:p>
        </w:tc>
      </w:tr>
      <w:tr w:rsidR="003E1EA3" w:rsidRPr="003E1EA3" w14:paraId="73FD7991" w14:textId="77777777" w:rsidTr="003E1EA3">
        <w:trPr>
          <w:trHeight w:val="300"/>
        </w:trPr>
        <w:tc>
          <w:tcPr>
            <w:tcW w:w="3640" w:type="dxa"/>
            <w:tcBorders>
              <w:top w:val="nil"/>
              <w:left w:val="single" w:sz="4" w:space="0" w:color="auto"/>
              <w:bottom w:val="nil"/>
              <w:right w:val="single" w:sz="4" w:space="0" w:color="auto"/>
            </w:tcBorders>
            <w:shd w:val="clear" w:color="auto" w:fill="auto"/>
            <w:noWrap/>
            <w:vAlign w:val="center"/>
            <w:hideMark/>
          </w:tcPr>
          <w:p w14:paraId="19F6123F" w14:textId="77777777" w:rsidR="003E1EA3" w:rsidRPr="003E1EA3" w:rsidRDefault="003E1EA3" w:rsidP="003E1EA3">
            <w:pPr>
              <w:jc w:val="both"/>
              <w:rPr>
                <w:rFonts w:cs="Arial"/>
                <w:color w:val="000000"/>
                <w:szCs w:val="24"/>
              </w:rPr>
            </w:pPr>
            <w:r w:rsidRPr="003E1EA3">
              <w:rPr>
                <w:rFonts w:cs="Arial"/>
                <w:color w:val="000000"/>
                <w:szCs w:val="24"/>
              </w:rPr>
              <w:t>Maturities</w:t>
            </w:r>
          </w:p>
        </w:tc>
        <w:tc>
          <w:tcPr>
            <w:tcW w:w="1540" w:type="dxa"/>
            <w:tcBorders>
              <w:top w:val="nil"/>
              <w:left w:val="nil"/>
              <w:bottom w:val="nil"/>
              <w:right w:val="single" w:sz="4" w:space="0" w:color="auto"/>
            </w:tcBorders>
            <w:shd w:val="clear" w:color="auto" w:fill="auto"/>
            <w:noWrap/>
            <w:vAlign w:val="center"/>
            <w:hideMark/>
          </w:tcPr>
          <w:p w14:paraId="1026B542" w14:textId="77777777" w:rsidR="003E1EA3" w:rsidRPr="003E1EA3" w:rsidRDefault="003E1EA3" w:rsidP="003E1EA3">
            <w:pPr>
              <w:jc w:val="center"/>
              <w:rPr>
                <w:rFonts w:cs="Arial"/>
                <w:color w:val="000000"/>
                <w:szCs w:val="24"/>
              </w:rPr>
            </w:pPr>
            <w:r w:rsidRPr="003E1EA3">
              <w:rPr>
                <w:rFonts w:cs="Arial"/>
                <w:color w:val="000000"/>
                <w:szCs w:val="24"/>
              </w:rPr>
              <w:t>-0.22</w:t>
            </w:r>
          </w:p>
        </w:tc>
        <w:tc>
          <w:tcPr>
            <w:tcW w:w="1300" w:type="dxa"/>
            <w:tcBorders>
              <w:top w:val="nil"/>
              <w:left w:val="nil"/>
              <w:bottom w:val="nil"/>
              <w:right w:val="single" w:sz="4" w:space="0" w:color="auto"/>
            </w:tcBorders>
            <w:shd w:val="clear" w:color="auto" w:fill="auto"/>
            <w:noWrap/>
            <w:vAlign w:val="center"/>
            <w:hideMark/>
          </w:tcPr>
          <w:p w14:paraId="38046B8F" w14:textId="77777777" w:rsidR="003E1EA3" w:rsidRPr="003E1EA3" w:rsidRDefault="003E1EA3" w:rsidP="003E1EA3">
            <w:pPr>
              <w:jc w:val="center"/>
              <w:rPr>
                <w:rFonts w:cs="Arial"/>
                <w:color w:val="000000"/>
                <w:szCs w:val="24"/>
              </w:rPr>
            </w:pPr>
            <w:r w:rsidRPr="003E1EA3">
              <w:rPr>
                <w:rFonts w:cs="Arial"/>
                <w:color w:val="000000"/>
                <w:szCs w:val="24"/>
              </w:rPr>
              <w:t>-554.21</w:t>
            </w:r>
          </w:p>
        </w:tc>
        <w:tc>
          <w:tcPr>
            <w:tcW w:w="1440" w:type="dxa"/>
            <w:tcBorders>
              <w:top w:val="nil"/>
              <w:left w:val="nil"/>
              <w:bottom w:val="nil"/>
              <w:right w:val="single" w:sz="4" w:space="0" w:color="auto"/>
            </w:tcBorders>
            <w:shd w:val="clear" w:color="auto" w:fill="auto"/>
            <w:noWrap/>
            <w:vAlign w:val="center"/>
            <w:hideMark/>
          </w:tcPr>
          <w:p w14:paraId="1C9F2AD6" w14:textId="77777777" w:rsidR="003E1EA3" w:rsidRPr="003E1EA3" w:rsidRDefault="003E1EA3" w:rsidP="003E1EA3">
            <w:pPr>
              <w:jc w:val="center"/>
              <w:rPr>
                <w:rFonts w:cs="Arial"/>
                <w:color w:val="000000"/>
                <w:szCs w:val="24"/>
              </w:rPr>
            </w:pPr>
            <w:r w:rsidRPr="003E1EA3">
              <w:rPr>
                <w:rFonts w:cs="Arial"/>
                <w:color w:val="000000"/>
                <w:szCs w:val="24"/>
              </w:rPr>
              <w:t>-163.92</w:t>
            </w:r>
          </w:p>
        </w:tc>
        <w:tc>
          <w:tcPr>
            <w:tcW w:w="1340" w:type="dxa"/>
            <w:tcBorders>
              <w:top w:val="nil"/>
              <w:left w:val="nil"/>
              <w:bottom w:val="nil"/>
              <w:right w:val="single" w:sz="4" w:space="0" w:color="auto"/>
            </w:tcBorders>
            <w:shd w:val="clear" w:color="auto" w:fill="auto"/>
            <w:noWrap/>
            <w:vAlign w:val="center"/>
            <w:hideMark/>
          </w:tcPr>
          <w:p w14:paraId="213B1E13" w14:textId="77777777" w:rsidR="003E1EA3" w:rsidRPr="003E1EA3" w:rsidRDefault="003E1EA3" w:rsidP="003E1EA3">
            <w:pPr>
              <w:jc w:val="center"/>
              <w:rPr>
                <w:rFonts w:cs="Arial"/>
                <w:color w:val="000000"/>
                <w:szCs w:val="24"/>
              </w:rPr>
            </w:pPr>
            <w:r w:rsidRPr="003E1EA3">
              <w:rPr>
                <w:rFonts w:cs="Arial"/>
                <w:color w:val="000000"/>
                <w:szCs w:val="24"/>
              </w:rPr>
              <w:t>-718.35</w:t>
            </w:r>
          </w:p>
        </w:tc>
      </w:tr>
      <w:tr w:rsidR="003E1EA3" w:rsidRPr="003E1EA3" w14:paraId="59F0C148" w14:textId="77777777" w:rsidTr="003E1EA3">
        <w:trPr>
          <w:trHeight w:val="300"/>
        </w:trPr>
        <w:tc>
          <w:tcPr>
            <w:tcW w:w="3640" w:type="dxa"/>
            <w:tcBorders>
              <w:top w:val="nil"/>
              <w:left w:val="single" w:sz="4" w:space="0" w:color="auto"/>
              <w:bottom w:val="nil"/>
              <w:right w:val="single" w:sz="4" w:space="0" w:color="auto"/>
            </w:tcBorders>
            <w:shd w:val="clear" w:color="auto" w:fill="auto"/>
            <w:noWrap/>
            <w:vAlign w:val="center"/>
            <w:hideMark/>
          </w:tcPr>
          <w:p w14:paraId="5E2DB87E" w14:textId="77777777" w:rsidR="003E1EA3" w:rsidRPr="003E1EA3" w:rsidRDefault="003E1EA3" w:rsidP="003E1EA3">
            <w:pPr>
              <w:jc w:val="both"/>
              <w:rPr>
                <w:rFonts w:cs="Arial"/>
                <w:color w:val="000000"/>
                <w:szCs w:val="24"/>
              </w:rPr>
            </w:pPr>
            <w:r w:rsidRPr="003E1EA3">
              <w:rPr>
                <w:rFonts w:cs="Arial"/>
                <w:color w:val="000000"/>
                <w:szCs w:val="24"/>
              </w:rPr>
              <w:t>New Investments</w:t>
            </w:r>
          </w:p>
        </w:tc>
        <w:tc>
          <w:tcPr>
            <w:tcW w:w="1540" w:type="dxa"/>
            <w:tcBorders>
              <w:top w:val="nil"/>
              <w:left w:val="nil"/>
              <w:bottom w:val="nil"/>
              <w:right w:val="single" w:sz="4" w:space="0" w:color="auto"/>
            </w:tcBorders>
            <w:shd w:val="clear" w:color="auto" w:fill="auto"/>
            <w:noWrap/>
            <w:vAlign w:val="center"/>
            <w:hideMark/>
          </w:tcPr>
          <w:p w14:paraId="1B0BADB1" w14:textId="77777777" w:rsidR="003E1EA3" w:rsidRPr="003E1EA3" w:rsidRDefault="003E1EA3" w:rsidP="003E1EA3">
            <w:pPr>
              <w:jc w:val="center"/>
              <w:rPr>
                <w:rFonts w:cs="Arial"/>
                <w:color w:val="000000"/>
                <w:szCs w:val="24"/>
              </w:rPr>
            </w:pPr>
            <w:r w:rsidRPr="003E1EA3">
              <w:rPr>
                <w:rFonts w:cs="Arial"/>
                <w:color w:val="000000"/>
                <w:szCs w:val="24"/>
              </w:rPr>
              <w:t>0.18</w:t>
            </w:r>
          </w:p>
        </w:tc>
        <w:tc>
          <w:tcPr>
            <w:tcW w:w="1300" w:type="dxa"/>
            <w:tcBorders>
              <w:top w:val="nil"/>
              <w:left w:val="nil"/>
              <w:bottom w:val="nil"/>
              <w:right w:val="single" w:sz="4" w:space="0" w:color="auto"/>
            </w:tcBorders>
            <w:shd w:val="clear" w:color="auto" w:fill="auto"/>
            <w:noWrap/>
            <w:vAlign w:val="center"/>
            <w:hideMark/>
          </w:tcPr>
          <w:p w14:paraId="2A1312B4" w14:textId="77777777" w:rsidR="003E1EA3" w:rsidRPr="003E1EA3" w:rsidRDefault="003E1EA3" w:rsidP="003E1EA3">
            <w:pPr>
              <w:jc w:val="center"/>
              <w:rPr>
                <w:rFonts w:cs="Arial"/>
                <w:color w:val="000000"/>
                <w:szCs w:val="24"/>
              </w:rPr>
            </w:pPr>
            <w:r w:rsidRPr="003E1EA3">
              <w:rPr>
                <w:rFonts w:cs="Arial"/>
                <w:color w:val="000000"/>
                <w:szCs w:val="24"/>
              </w:rPr>
              <w:t>445.23</w:t>
            </w:r>
          </w:p>
        </w:tc>
        <w:tc>
          <w:tcPr>
            <w:tcW w:w="1440" w:type="dxa"/>
            <w:tcBorders>
              <w:top w:val="nil"/>
              <w:left w:val="nil"/>
              <w:bottom w:val="nil"/>
              <w:right w:val="single" w:sz="4" w:space="0" w:color="auto"/>
            </w:tcBorders>
            <w:shd w:val="clear" w:color="auto" w:fill="auto"/>
            <w:noWrap/>
            <w:vAlign w:val="center"/>
            <w:hideMark/>
          </w:tcPr>
          <w:p w14:paraId="38C14E18" w14:textId="77777777" w:rsidR="003E1EA3" w:rsidRPr="003E1EA3" w:rsidRDefault="003E1EA3" w:rsidP="003E1EA3">
            <w:pPr>
              <w:jc w:val="center"/>
              <w:rPr>
                <w:rFonts w:cs="Arial"/>
                <w:color w:val="000000"/>
                <w:szCs w:val="24"/>
              </w:rPr>
            </w:pPr>
            <w:r w:rsidRPr="003E1EA3">
              <w:rPr>
                <w:rFonts w:cs="Arial"/>
                <w:color w:val="000000"/>
                <w:szCs w:val="24"/>
              </w:rPr>
              <w:t>318.93</w:t>
            </w:r>
          </w:p>
        </w:tc>
        <w:tc>
          <w:tcPr>
            <w:tcW w:w="1340" w:type="dxa"/>
            <w:tcBorders>
              <w:top w:val="nil"/>
              <w:left w:val="nil"/>
              <w:bottom w:val="nil"/>
              <w:right w:val="single" w:sz="4" w:space="0" w:color="auto"/>
            </w:tcBorders>
            <w:shd w:val="clear" w:color="auto" w:fill="auto"/>
            <w:noWrap/>
            <w:vAlign w:val="center"/>
            <w:hideMark/>
          </w:tcPr>
          <w:p w14:paraId="6ADDCC3A" w14:textId="77777777" w:rsidR="003E1EA3" w:rsidRPr="003E1EA3" w:rsidRDefault="003E1EA3" w:rsidP="003E1EA3">
            <w:pPr>
              <w:jc w:val="center"/>
              <w:rPr>
                <w:rFonts w:cs="Arial"/>
                <w:color w:val="000000"/>
                <w:szCs w:val="24"/>
              </w:rPr>
            </w:pPr>
            <w:r w:rsidRPr="003E1EA3">
              <w:rPr>
                <w:rFonts w:cs="Arial"/>
                <w:color w:val="000000"/>
                <w:szCs w:val="24"/>
              </w:rPr>
              <w:t>764.33</w:t>
            </w:r>
          </w:p>
        </w:tc>
      </w:tr>
      <w:tr w:rsidR="003E1EA3" w:rsidRPr="003E1EA3" w14:paraId="63EC1E46" w14:textId="77777777" w:rsidTr="003E1EA3">
        <w:trPr>
          <w:trHeight w:val="3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0433DCDF" w14:textId="77777777" w:rsidR="003E1EA3" w:rsidRPr="003E1EA3" w:rsidRDefault="003E1EA3" w:rsidP="003E1EA3">
            <w:pPr>
              <w:rPr>
                <w:rFonts w:ascii="Times New Roman" w:hAnsi="Times New Roman"/>
                <w:color w:val="000000"/>
                <w:szCs w:val="24"/>
              </w:rPr>
            </w:pPr>
            <w:r w:rsidRPr="003E1EA3">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14:paraId="54AD1833" w14:textId="77777777" w:rsidR="003E1EA3" w:rsidRPr="003E1EA3" w:rsidRDefault="003E1EA3" w:rsidP="003E1EA3">
            <w:pPr>
              <w:jc w:val="center"/>
              <w:rPr>
                <w:rFonts w:ascii="Times New Roman" w:hAnsi="Times New Roman"/>
                <w:color w:val="000000"/>
                <w:szCs w:val="24"/>
              </w:rPr>
            </w:pPr>
            <w:r w:rsidRPr="003E1EA3">
              <w:rPr>
                <w:rFonts w:ascii="Times New Roman" w:hAnsi="Times New Roman"/>
                <w:color w:val="000000"/>
                <w:szCs w:val="24"/>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86376B" w14:textId="77777777" w:rsidR="003E1EA3" w:rsidRPr="003E1EA3" w:rsidRDefault="003E1EA3" w:rsidP="003E1EA3">
            <w:pPr>
              <w:jc w:val="center"/>
              <w:rPr>
                <w:rFonts w:ascii="Times New Roman" w:hAnsi="Times New Roman"/>
                <w:color w:val="000000"/>
                <w:szCs w:val="24"/>
              </w:rPr>
            </w:pPr>
            <w:r w:rsidRPr="003E1EA3">
              <w:rPr>
                <w:rFonts w:ascii="Times New Roman" w:hAnsi="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14:paraId="2B08C403" w14:textId="77777777" w:rsidR="003E1EA3" w:rsidRPr="003E1EA3" w:rsidRDefault="003E1EA3" w:rsidP="003E1EA3">
            <w:pPr>
              <w:jc w:val="center"/>
              <w:rPr>
                <w:rFonts w:ascii="Times New Roman" w:hAnsi="Times New Roman"/>
                <w:color w:val="000000"/>
                <w:szCs w:val="24"/>
              </w:rPr>
            </w:pPr>
            <w:r w:rsidRPr="003E1EA3">
              <w:rPr>
                <w:rFonts w:ascii="Times New Roman" w:hAnsi="Times New Roman"/>
                <w:color w:val="000000"/>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14:paraId="0A546D27" w14:textId="77777777" w:rsidR="003E1EA3" w:rsidRPr="003E1EA3" w:rsidRDefault="003E1EA3" w:rsidP="003E1EA3">
            <w:pPr>
              <w:jc w:val="center"/>
              <w:rPr>
                <w:rFonts w:ascii="Times New Roman" w:hAnsi="Times New Roman"/>
                <w:color w:val="000000"/>
                <w:szCs w:val="24"/>
              </w:rPr>
            </w:pPr>
            <w:r w:rsidRPr="003E1EA3">
              <w:rPr>
                <w:rFonts w:ascii="Times New Roman" w:hAnsi="Times New Roman"/>
                <w:color w:val="000000"/>
                <w:szCs w:val="24"/>
              </w:rPr>
              <w:t> </w:t>
            </w:r>
          </w:p>
        </w:tc>
      </w:tr>
      <w:tr w:rsidR="003E1EA3" w:rsidRPr="003E1EA3" w14:paraId="737DDF3A" w14:textId="77777777" w:rsidTr="003E1EA3">
        <w:trPr>
          <w:trHeight w:val="31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4524A9A" w14:textId="77777777" w:rsidR="003E1EA3" w:rsidRPr="003E1EA3" w:rsidRDefault="003E1EA3" w:rsidP="003E1EA3">
            <w:pPr>
              <w:jc w:val="both"/>
              <w:rPr>
                <w:rFonts w:cs="Arial"/>
                <w:b/>
                <w:bCs/>
                <w:color w:val="000000"/>
                <w:szCs w:val="24"/>
              </w:rPr>
            </w:pPr>
            <w:r w:rsidRPr="003E1EA3">
              <w:rPr>
                <w:rFonts w:cs="Arial"/>
                <w:b/>
                <w:bCs/>
                <w:color w:val="000000"/>
                <w:szCs w:val="24"/>
              </w:rPr>
              <w:t>Balance 30 November 2015</w:t>
            </w:r>
          </w:p>
        </w:tc>
        <w:tc>
          <w:tcPr>
            <w:tcW w:w="1540" w:type="dxa"/>
            <w:tcBorders>
              <w:top w:val="nil"/>
              <w:left w:val="nil"/>
              <w:bottom w:val="single" w:sz="4" w:space="0" w:color="auto"/>
              <w:right w:val="single" w:sz="4" w:space="0" w:color="auto"/>
            </w:tcBorders>
            <w:shd w:val="clear" w:color="auto" w:fill="auto"/>
            <w:noWrap/>
            <w:vAlign w:val="center"/>
            <w:hideMark/>
          </w:tcPr>
          <w:p w14:paraId="1404FAB9" w14:textId="77777777" w:rsidR="003E1EA3" w:rsidRPr="003E1EA3" w:rsidRDefault="003E1EA3" w:rsidP="003E1EA3">
            <w:pPr>
              <w:jc w:val="center"/>
              <w:rPr>
                <w:rFonts w:cs="Arial"/>
                <w:b/>
                <w:bCs/>
                <w:color w:val="000000"/>
                <w:szCs w:val="24"/>
              </w:rPr>
            </w:pPr>
            <w:r w:rsidRPr="003E1EA3">
              <w:rPr>
                <w:rFonts w:cs="Arial"/>
                <w:b/>
                <w:bCs/>
                <w:color w:val="000000"/>
                <w:szCs w:val="24"/>
              </w:rPr>
              <w:t>36.24</w:t>
            </w:r>
          </w:p>
        </w:tc>
        <w:tc>
          <w:tcPr>
            <w:tcW w:w="1300" w:type="dxa"/>
            <w:tcBorders>
              <w:top w:val="nil"/>
              <w:left w:val="nil"/>
              <w:bottom w:val="single" w:sz="4" w:space="0" w:color="auto"/>
              <w:right w:val="single" w:sz="4" w:space="0" w:color="auto"/>
            </w:tcBorders>
            <w:shd w:val="clear" w:color="auto" w:fill="auto"/>
            <w:noWrap/>
            <w:vAlign w:val="center"/>
            <w:hideMark/>
          </w:tcPr>
          <w:p w14:paraId="1E133997" w14:textId="77777777" w:rsidR="003E1EA3" w:rsidRPr="003E1EA3" w:rsidRDefault="003E1EA3" w:rsidP="003E1EA3">
            <w:pPr>
              <w:jc w:val="center"/>
              <w:rPr>
                <w:rFonts w:cs="Arial"/>
                <w:b/>
                <w:bCs/>
                <w:color w:val="000000"/>
                <w:szCs w:val="24"/>
              </w:rPr>
            </w:pPr>
            <w:r w:rsidRPr="003E1EA3">
              <w:rPr>
                <w:rFonts w:cs="Arial"/>
                <w:b/>
                <w:bCs/>
                <w:color w:val="000000"/>
                <w:szCs w:val="24"/>
              </w:rPr>
              <w:t>185.29</w:t>
            </w:r>
          </w:p>
        </w:tc>
        <w:tc>
          <w:tcPr>
            <w:tcW w:w="1440" w:type="dxa"/>
            <w:tcBorders>
              <w:top w:val="nil"/>
              <w:left w:val="nil"/>
              <w:bottom w:val="single" w:sz="4" w:space="0" w:color="auto"/>
              <w:right w:val="single" w:sz="4" w:space="0" w:color="auto"/>
            </w:tcBorders>
            <w:shd w:val="clear" w:color="auto" w:fill="auto"/>
            <w:noWrap/>
            <w:vAlign w:val="center"/>
            <w:hideMark/>
          </w:tcPr>
          <w:p w14:paraId="62951A0A" w14:textId="77777777" w:rsidR="003E1EA3" w:rsidRPr="003E1EA3" w:rsidRDefault="003E1EA3" w:rsidP="003E1EA3">
            <w:pPr>
              <w:jc w:val="center"/>
              <w:rPr>
                <w:rFonts w:cs="Arial"/>
                <w:b/>
                <w:bCs/>
                <w:color w:val="000000"/>
                <w:szCs w:val="24"/>
              </w:rPr>
            </w:pPr>
            <w:r w:rsidRPr="003E1EA3">
              <w:rPr>
                <w:rFonts w:cs="Arial"/>
                <w:b/>
                <w:bCs/>
                <w:color w:val="000000"/>
                <w:szCs w:val="24"/>
              </w:rPr>
              <w:t>359.57</w:t>
            </w:r>
          </w:p>
        </w:tc>
        <w:tc>
          <w:tcPr>
            <w:tcW w:w="1340" w:type="dxa"/>
            <w:tcBorders>
              <w:top w:val="nil"/>
              <w:left w:val="nil"/>
              <w:bottom w:val="single" w:sz="4" w:space="0" w:color="auto"/>
              <w:right w:val="single" w:sz="4" w:space="0" w:color="auto"/>
            </w:tcBorders>
            <w:shd w:val="clear" w:color="auto" w:fill="auto"/>
            <w:noWrap/>
            <w:vAlign w:val="center"/>
            <w:hideMark/>
          </w:tcPr>
          <w:p w14:paraId="0D14D6B7" w14:textId="77777777" w:rsidR="003E1EA3" w:rsidRPr="003E1EA3" w:rsidRDefault="003E1EA3" w:rsidP="003E1EA3">
            <w:pPr>
              <w:jc w:val="center"/>
              <w:rPr>
                <w:rFonts w:cs="Arial"/>
                <w:b/>
                <w:bCs/>
                <w:color w:val="000000"/>
                <w:szCs w:val="24"/>
              </w:rPr>
            </w:pPr>
            <w:r w:rsidRPr="003E1EA3">
              <w:rPr>
                <w:rFonts w:cs="Arial"/>
                <w:b/>
                <w:bCs/>
                <w:color w:val="000000"/>
                <w:szCs w:val="24"/>
              </w:rPr>
              <w:t>581.11</w:t>
            </w:r>
          </w:p>
        </w:tc>
      </w:tr>
    </w:tbl>
    <w:p w14:paraId="5CA0790D" w14:textId="77777777" w:rsidR="003E1EA3" w:rsidRDefault="003E1EA3" w:rsidP="00041284">
      <w:pPr>
        <w:pStyle w:val="ListParagraph"/>
        <w:spacing w:after="0" w:line="240" w:lineRule="auto"/>
        <w:ind w:left="0"/>
        <w:jc w:val="both"/>
        <w:rPr>
          <w:rFonts w:cs="Arial"/>
          <w:szCs w:val="24"/>
          <w:highlight w:val="yellow"/>
        </w:rPr>
      </w:pPr>
    </w:p>
    <w:p w14:paraId="7F54FAA6" w14:textId="77777777" w:rsidR="00505D01" w:rsidRDefault="00505D01" w:rsidP="00505D01">
      <w:pPr>
        <w:pStyle w:val="ListParagraph"/>
        <w:ind w:left="0"/>
        <w:contextualSpacing w:val="0"/>
        <w:jc w:val="both"/>
        <w:rPr>
          <w:rFonts w:cs="Arial"/>
          <w:szCs w:val="24"/>
        </w:rPr>
      </w:pPr>
      <w:r w:rsidRPr="005B4FA8">
        <w:rPr>
          <w:rFonts w:cs="Arial"/>
          <w:szCs w:val="24"/>
        </w:rPr>
        <w:t>Bail-in legislation, which ensures that large investors including local authorities will rescue failing banks instead of taxpayers in the future, has now been fully implemented in the UK, USA and Germany. The rest of the European Union will follow suit in January 2016, while Australia, Canada and Switzerland are well advanced with their own plans. Meanwhile, changes to the UK Financial Services Compensation Scheme and similar European schemes in July 2015 mean that most private sector investors are now partially or fully exempt from contributing to a bail-in. The credit risk associated with making unsecured bank deposits has therefore increased relative to the risk of other investment opt</w:t>
      </w:r>
      <w:r>
        <w:rPr>
          <w:rFonts w:cs="Arial"/>
          <w:szCs w:val="24"/>
        </w:rPr>
        <w:t>ions available to the Authority.</w:t>
      </w:r>
    </w:p>
    <w:p w14:paraId="7A209EB9" w14:textId="77777777" w:rsidR="00505D01" w:rsidRPr="008812B8" w:rsidRDefault="00505D01" w:rsidP="00505D01">
      <w:pPr>
        <w:pStyle w:val="ListParagraph"/>
        <w:ind w:left="0"/>
        <w:contextualSpacing w:val="0"/>
        <w:jc w:val="both"/>
        <w:rPr>
          <w:rFonts w:cs="Arial"/>
          <w:szCs w:val="24"/>
          <w:highlight w:val="yellow"/>
        </w:rPr>
      </w:pPr>
      <w:r>
        <w:rPr>
          <w:rFonts w:cs="Arial"/>
          <w:szCs w:val="24"/>
        </w:rPr>
        <w:t>This is the reason LCC no longer invests in unsecured term bank deposits. The final investment of the type is the structured loan of £39.79m shown in the table below. This deposit matured on 7</w:t>
      </w:r>
      <w:r w:rsidRPr="005B4FA8">
        <w:rPr>
          <w:rFonts w:cs="Arial"/>
          <w:szCs w:val="24"/>
          <w:vertAlign w:val="superscript"/>
        </w:rPr>
        <w:t>th</w:t>
      </w:r>
      <w:r>
        <w:rPr>
          <w:rFonts w:cs="Arial"/>
          <w:szCs w:val="24"/>
        </w:rPr>
        <w:t xml:space="preserve"> December 2015 and at the time of writing has been repaid. The remaining fined deposits are all with other local authorities.</w:t>
      </w:r>
    </w:p>
    <w:p w14:paraId="477975EF" w14:textId="74E30F98" w:rsidR="00CF296C" w:rsidRPr="00505D01" w:rsidRDefault="006468F4" w:rsidP="00931724">
      <w:pPr>
        <w:jc w:val="both"/>
        <w:rPr>
          <w:rFonts w:cs="Arial"/>
          <w:szCs w:val="24"/>
        </w:rPr>
      </w:pPr>
      <w:r w:rsidRPr="003E41D6">
        <w:rPr>
          <w:rFonts w:cs="Arial"/>
          <w:color w:val="000000"/>
          <w:szCs w:val="24"/>
        </w:rPr>
        <w:t>Within the period, there has been a</w:t>
      </w:r>
      <w:r w:rsidR="00A86F49" w:rsidRPr="003E41D6">
        <w:rPr>
          <w:rFonts w:cs="Arial"/>
          <w:color w:val="000000"/>
          <w:szCs w:val="24"/>
        </w:rPr>
        <w:t xml:space="preserve"> </w:t>
      </w:r>
      <w:r w:rsidR="003E41D6" w:rsidRPr="003E41D6">
        <w:rPr>
          <w:rFonts w:cs="Arial"/>
          <w:color w:val="000000"/>
          <w:szCs w:val="24"/>
        </w:rPr>
        <w:t>decrease of £109</w:t>
      </w:r>
      <w:r w:rsidRPr="003E41D6">
        <w:rPr>
          <w:rFonts w:cs="Arial"/>
          <w:color w:val="000000"/>
          <w:szCs w:val="24"/>
        </w:rPr>
        <w:t>m in the amount of Gilts being held</w:t>
      </w:r>
      <w:r w:rsidR="00505D01">
        <w:rPr>
          <w:rFonts w:cs="Arial"/>
          <w:color w:val="000000"/>
          <w:szCs w:val="24"/>
        </w:rPr>
        <w:t xml:space="preserve"> with a </w:t>
      </w:r>
      <w:r w:rsidR="001772C6" w:rsidRPr="00505D01">
        <w:rPr>
          <w:rFonts w:cs="Arial"/>
          <w:color w:val="000000"/>
          <w:szCs w:val="24"/>
        </w:rPr>
        <w:t xml:space="preserve">corresponding </w:t>
      </w:r>
      <w:r w:rsidR="003E41D6" w:rsidRPr="00505D01">
        <w:rPr>
          <w:rFonts w:cs="Arial"/>
          <w:color w:val="000000"/>
          <w:szCs w:val="24"/>
        </w:rPr>
        <w:t>increase in other bonds of £155</w:t>
      </w:r>
      <w:r w:rsidRPr="00505D01">
        <w:rPr>
          <w:rFonts w:cs="Arial"/>
          <w:color w:val="000000"/>
          <w:szCs w:val="24"/>
        </w:rPr>
        <w:t>m</w:t>
      </w:r>
      <w:r w:rsidR="00505D01">
        <w:rPr>
          <w:rFonts w:cs="Arial"/>
          <w:color w:val="000000"/>
          <w:szCs w:val="24"/>
        </w:rPr>
        <w:t>. This portfolio rebalancing is in response to market changes and the additional bond investments have been in liquid securities, principally floating rate notes to protect advance short term borrowing against interest rate risk.</w:t>
      </w:r>
      <w:r w:rsidR="00505D01" w:rsidRPr="00505D01">
        <w:rPr>
          <w:rFonts w:cs="Arial"/>
          <w:color w:val="000000"/>
          <w:szCs w:val="24"/>
        </w:rPr>
        <w:t xml:space="preserve"> </w:t>
      </w:r>
      <w:r w:rsidR="00505D01">
        <w:rPr>
          <w:rFonts w:cs="Arial"/>
          <w:color w:val="000000"/>
          <w:szCs w:val="24"/>
        </w:rPr>
        <w:t>There has been no reduction of the overall credit quality of the portfolio</w:t>
      </w:r>
    </w:p>
    <w:p w14:paraId="19AE3196" w14:textId="77777777" w:rsidR="00651796" w:rsidRPr="00505D01" w:rsidRDefault="00DC4724" w:rsidP="00931724">
      <w:pPr>
        <w:jc w:val="both"/>
        <w:rPr>
          <w:rFonts w:cs="Arial"/>
          <w:szCs w:val="24"/>
        </w:rPr>
      </w:pPr>
      <w:r w:rsidRPr="00505D01">
        <w:rPr>
          <w:rFonts w:cs="Arial"/>
          <w:szCs w:val="24"/>
        </w:rPr>
        <w:t xml:space="preserve"> </w:t>
      </w:r>
    </w:p>
    <w:p w14:paraId="4AB10036" w14:textId="60537AB1" w:rsidR="004F1BA8" w:rsidRPr="00950A7F" w:rsidRDefault="006E79AD" w:rsidP="00931724">
      <w:pPr>
        <w:jc w:val="both"/>
        <w:rPr>
          <w:rFonts w:cs="Arial"/>
          <w:szCs w:val="24"/>
        </w:rPr>
      </w:pPr>
      <w:r w:rsidRPr="00950A7F">
        <w:rPr>
          <w:rFonts w:cs="Arial"/>
          <w:szCs w:val="24"/>
        </w:rPr>
        <w:t xml:space="preserve">The current rate of return on the investment portfolio measured by </w:t>
      </w:r>
      <w:proofErr w:type="spellStart"/>
      <w:r w:rsidRPr="00950A7F">
        <w:rPr>
          <w:rFonts w:cs="Arial"/>
          <w:szCs w:val="24"/>
        </w:rPr>
        <w:t>Arlingclose</w:t>
      </w:r>
      <w:proofErr w:type="spellEnd"/>
      <w:r w:rsidRPr="00950A7F">
        <w:rPr>
          <w:rFonts w:cs="Arial"/>
          <w:szCs w:val="24"/>
        </w:rPr>
        <w:t xml:space="preserve"> Ltd treasury consultants is </w:t>
      </w:r>
      <w:r w:rsidR="00DE6254" w:rsidRPr="00950A7F">
        <w:rPr>
          <w:rFonts w:cs="Arial"/>
          <w:szCs w:val="24"/>
        </w:rPr>
        <w:t>1.</w:t>
      </w:r>
      <w:r w:rsidR="003E41D6">
        <w:rPr>
          <w:rFonts w:cs="Arial"/>
          <w:szCs w:val="24"/>
        </w:rPr>
        <w:t>36</w:t>
      </w:r>
      <w:r w:rsidRPr="00950A7F">
        <w:rPr>
          <w:rFonts w:cs="Arial"/>
          <w:szCs w:val="24"/>
        </w:rPr>
        <w:t xml:space="preserve">% which </w:t>
      </w:r>
      <w:r w:rsidR="004F1BA8" w:rsidRPr="00950A7F">
        <w:rPr>
          <w:rFonts w:cs="Arial"/>
          <w:szCs w:val="24"/>
        </w:rPr>
        <w:t>compares favourably with the benchmark 7 day LIBID which averages 0.</w:t>
      </w:r>
      <w:r w:rsidR="00505D01">
        <w:rPr>
          <w:rFonts w:cs="Arial"/>
          <w:szCs w:val="24"/>
        </w:rPr>
        <w:t>46</w:t>
      </w:r>
      <w:r w:rsidR="004F1BA8" w:rsidRPr="00950A7F">
        <w:rPr>
          <w:rFonts w:cs="Arial"/>
          <w:szCs w:val="24"/>
        </w:rPr>
        <w:t>% over the same period.</w:t>
      </w:r>
    </w:p>
    <w:p w14:paraId="036204B8" w14:textId="77777777" w:rsidR="00365D61" w:rsidRPr="003E41D6" w:rsidRDefault="00365D61" w:rsidP="00931724">
      <w:pPr>
        <w:ind w:hanging="11"/>
        <w:jc w:val="both"/>
        <w:rPr>
          <w:rFonts w:cs="Arial"/>
          <w:szCs w:val="24"/>
        </w:rPr>
      </w:pPr>
    </w:p>
    <w:p w14:paraId="625BA5F0" w14:textId="77777777" w:rsidR="003413AB" w:rsidRPr="003E41D6" w:rsidRDefault="00931724" w:rsidP="00931724">
      <w:pPr>
        <w:ind w:hanging="11"/>
        <w:jc w:val="both"/>
        <w:rPr>
          <w:rFonts w:cs="Arial"/>
          <w:b/>
          <w:szCs w:val="24"/>
        </w:rPr>
      </w:pPr>
      <w:r w:rsidRPr="003E41D6">
        <w:rPr>
          <w:rFonts w:cs="Arial"/>
          <w:b/>
          <w:szCs w:val="24"/>
        </w:rPr>
        <w:t>3</w:t>
      </w:r>
      <w:r w:rsidR="00AE729C" w:rsidRPr="003E41D6">
        <w:rPr>
          <w:rFonts w:cs="Arial"/>
          <w:b/>
          <w:szCs w:val="24"/>
        </w:rPr>
        <w:t>.2</w:t>
      </w:r>
      <w:r w:rsidR="00AE729C" w:rsidRPr="003E41D6">
        <w:rPr>
          <w:rFonts w:cs="Arial"/>
          <w:b/>
          <w:szCs w:val="24"/>
        </w:rPr>
        <w:tab/>
      </w:r>
      <w:r w:rsidR="003413AB" w:rsidRPr="003E41D6">
        <w:rPr>
          <w:rFonts w:cs="Arial"/>
          <w:b/>
          <w:szCs w:val="24"/>
        </w:rPr>
        <w:t>Borrowing Activity</w:t>
      </w:r>
    </w:p>
    <w:p w14:paraId="70F9D0A3" w14:textId="77777777" w:rsidR="003413AB" w:rsidRPr="008812B8" w:rsidRDefault="003413AB" w:rsidP="00931724">
      <w:pPr>
        <w:ind w:hanging="11"/>
        <w:jc w:val="both"/>
        <w:rPr>
          <w:rFonts w:cs="Arial"/>
          <w:b/>
          <w:szCs w:val="24"/>
          <w:highlight w:val="yellow"/>
        </w:rPr>
      </w:pPr>
    </w:p>
    <w:p w14:paraId="5408B820" w14:textId="10FFD555" w:rsidR="00651796" w:rsidRDefault="003413AB" w:rsidP="008337AA">
      <w:pPr>
        <w:ind w:hanging="11"/>
        <w:jc w:val="both"/>
        <w:rPr>
          <w:rFonts w:cs="Arial"/>
          <w:szCs w:val="24"/>
        </w:rPr>
      </w:pPr>
      <w:r w:rsidRPr="003E1EA3">
        <w:rPr>
          <w:rFonts w:cs="Arial"/>
          <w:szCs w:val="24"/>
        </w:rPr>
        <w:t xml:space="preserve">Current market conditions continue to enable the County Council to take advantage of short term market borrowing. The table below shows the borrowing activity which has taken place between </w:t>
      </w:r>
      <w:r w:rsidR="003E1EA3" w:rsidRPr="003E1EA3">
        <w:rPr>
          <w:rFonts w:cs="Arial"/>
          <w:szCs w:val="24"/>
        </w:rPr>
        <w:t>1</w:t>
      </w:r>
      <w:r w:rsidR="003E1EA3" w:rsidRPr="003E1EA3">
        <w:rPr>
          <w:rFonts w:cs="Arial"/>
          <w:szCs w:val="24"/>
          <w:vertAlign w:val="superscript"/>
        </w:rPr>
        <w:t>st</w:t>
      </w:r>
      <w:r w:rsidR="003E1EA3" w:rsidRPr="003E1EA3">
        <w:rPr>
          <w:rFonts w:cs="Arial"/>
          <w:szCs w:val="24"/>
        </w:rPr>
        <w:t xml:space="preserve"> August 2015 and 30</w:t>
      </w:r>
      <w:r w:rsidR="003E1EA3" w:rsidRPr="003E1EA3">
        <w:rPr>
          <w:rFonts w:cs="Arial"/>
          <w:szCs w:val="24"/>
          <w:vertAlign w:val="superscript"/>
        </w:rPr>
        <w:t>th</w:t>
      </w:r>
      <w:r w:rsidR="003E1EA3" w:rsidRPr="003E1EA3">
        <w:rPr>
          <w:rFonts w:cs="Arial"/>
          <w:szCs w:val="24"/>
        </w:rPr>
        <w:t xml:space="preserve"> November 2015.</w:t>
      </w:r>
    </w:p>
    <w:p w14:paraId="0E8903D9" w14:textId="77777777" w:rsidR="003E1EA3" w:rsidRDefault="003E1EA3" w:rsidP="008337AA">
      <w:pPr>
        <w:ind w:hanging="11"/>
        <w:jc w:val="both"/>
        <w:rPr>
          <w:rFonts w:cs="Arial"/>
          <w:szCs w:val="24"/>
        </w:rPr>
      </w:pPr>
    </w:p>
    <w:p w14:paraId="39655CA5" w14:textId="77777777" w:rsidR="003E1EA3" w:rsidRPr="003E1EA3" w:rsidRDefault="003E1EA3" w:rsidP="008337AA">
      <w:pPr>
        <w:ind w:hanging="11"/>
        <w:jc w:val="both"/>
        <w:rPr>
          <w:rFonts w:cs="Arial"/>
          <w:szCs w:val="24"/>
        </w:rPr>
      </w:pPr>
    </w:p>
    <w:p w14:paraId="41A7DE05" w14:textId="77777777" w:rsidR="003E1EA3" w:rsidRPr="008812B8" w:rsidRDefault="003E1EA3" w:rsidP="008337AA">
      <w:pPr>
        <w:ind w:hanging="11"/>
        <w:jc w:val="both"/>
        <w:rPr>
          <w:rFonts w:cs="Arial"/>
          <w:highlight w:val="yellow"/>
        </w:rPr>
      </w:pPr>
    </w:p>
    <w:tbl>
      <w:tblPr>
        <w:tblW w:w="8926" w:type="dxa"/>
        <w:tblLayout w:type="fixed"/>
        <w:tblLook w:val="04A0" w:firstRow="1" w:lastRow="0" w:firstColumn="1" w:lastColumn="0" w:noHBand="0" w:noVBand="1"/>
      </w:tblPr>
      <w:tblGrid>
        <w:gridCol w:w="1557"/>
        <w:gridCol w:w="951"/>
        <w:gridCol w:w="1150"/>
        <w:gridCol w:w="990"/>
        <w:gridCol w:w="1159"/>
        <w:gridCol w:w="1559"/>
        <w:gridCol w:w="1560"/>
      </w:tblGrid>
      <w:tr w:rsidR="00375E2D" w:rsidRPr="003E1EA3" w14:paraId="0CDC3C92" w14:textId="77777777" w:rsidTr="00012BF5">
        <w:trPr>
          <w:trHeight w:val="987"/>
        </w:trPr>
        <w:tc>
          <w:tcPr>
            <w:tcW w:w="1557" w:type="dxa"/>
            <w:tcBorders>
              <w:top w:val="single" w:sz="4" w:space="0" w:color="auto"/>
              <w:left w:val="single" w:sz="4" w:space="0" w:color="auto"/>
              <w:bottom w:val="nil"/>
              <w:right w:val="single" w:sz="4" w:space="0" w:color="auto"/>
            </w:tcBorders>
            <w:shd w:val="clear" w:color="auto" w:fill="auto"/>
            <w:vAlign w:val="center"/>
            <w:hideMark/>
          </w:tcPr>
          <w:p w14:paraId="2878A104" w14:textId="77777777" w:rsidR="003E1EA3" w:rsidRPr="003E1EA3" w:rsidRDefault="003E1EA3" w:rsidP="003E1EA3">
            <w:pPr>
              <w:rPr>
                <w:rFonts w:cs="Arial"/>
                <w:b/>
                <w:bCs/>
                <w:color w:val="000000"/>
                <w:szCs w:val="24"/>
                <w:u w:val="single"/>
              </w:rPr>
            </w:pPr>
            <w:r w:rsidRPr="003E1EA3">
              <w:rPr>
                <w:rFonts w:cs="Arial"/>
                <w:b/>
                <w:bCs/>
                <w:color w:val="000000"/>
                <w:szCs w:val="24"/>
                <w:u w:val="single"/>
              </w:rPr>
              <w:t>Borrowing</w:t>
            </w:r>
          </w:p>
        </w:tc>
        <w:tc>
          <w:tcPr>
            <w:tcW w:w="951" w:type="dxa"/>
            <w:tcBorders>
              <w:top w:val="single" w:sz="4" w:space="0" w:color="auto"/>
              <w:left w:val="nil"/>
              <w:bottom w:val="nil"/>
              <w:right w:val="single" w:sz="4" w:space="0" w:color="auto"/>
            </w:tcBorders>
            <w:shd w:val="clear" w:color="auto" w:fill="auto"/>
            <w:vAlign w:val="bottom"/>
            <w:hideMark/>
          </w:tcPr>
          <w:p w14:paraId="36C5F0EE" w14:textId="77777777" w:rsidR="003E1EA3" w:rsidRPr="003E1EA3" w:rsidRDefault="003E1EA3" w:rsidP="003E1EA3">
            <w:pPr>
              <w:jc w:val="center"/>
              <w:rPr>
                <w:rFonts w:cs="Arial"/>
                <w:b/>
                <w:bCs/>
                <w:color w:val="000000"/>
                <w:szCs w:val="24"/>
              </w:rPr>
            </w:pPr>
            <w:r w:rsidRPr="003E1EA3">
              <w:rPr>
                <w:rFonts w:cs="Arial"/>
                <w:b/>
                <w:bCs/>
                <w:color w:val="000000"/>
                <w:szCs w:val="24"/>
              </w:rPr>
              <w:t>PWLB Fixed</w:t>
            </w:r>
          </w:p>
        </w:tc>
        <w:tc>
          <w:tcPr>
            <w:tcW w:w="1150" w:type="dxa"/>
            <w:tcBorders>
              <w:top w:val="single" w:sz="4" w:space="0" w:color="auto"/>
              <w:left w:val="nil"/>
              <w:bottom w:val="nil"/>
              <w:right w:val="single" w:sz="4" w:space="0" w:color="auto"/>
            </w:tcBorders>
            <w:shd w:val="clear" w:color="auto" w:fill="auto"/>
            <w:vAlign w:val="bottom"/>
            <w:hideMark/>
          </w:tcPr>
          <w:p w14:paraId="62B8ADD1" w14:textId="77777777" w:rsidR="003E1EA3" w:rsidRPr="003E1EA3" w:rsidRDefault="003E1EA3" w:rsidP="003E1EA3">
            <w:pPr>
              <w:jc w:val="center"/>
              <w:rPr>
                <w:rFonts w:cs="Arial"/>
                <w:b/>
                <w:bCs/>
                <w:color w:val="000000"/>
                <w:szCs w:val="24"/>
              </w:rPr>
            </w:pPr>
            <w:r w:rsidRPr="003E1EA3">
              <w:rPr>
                <w:rFonts w:cs="Arial"/>
                <w:b/>
                <w:bCs/>
                <w:color w:val="000000"/>
                <w:szCs w:val="24"/>
              </w:rPr>
              <w:t>PWLB Variable</w:t>
            </w:r>
          </w:p>
        </w:tc>
        <w:tc>
          <w:tcPr>
            <w:tcW w:w="990" w:type="dxa"/>
            <w:tcBorders>
              <w:top w:val="single" w:sz="4" w:space="0" w:color="auto"/>
              <w:left w:val="nil"/>
              <w:bottom w:val="nil"/>
              <w:right w:val="single" w:sz="4" w:space="0" w:color="auto"/>
            </w:tcBorders>
            <w:shd w:val="clear" w:color="auto" w:fill="auto"/>
            <w:vAlign w:val="bottom"/>
            <w:hideMark/>
          </w:tcPr>
          <w:p w14:paraId="61F11ADE" w14:textId="77777777" w:rsidR="003E1EA3" w:rsidRPr="003E1EA3" w:rsidRDefault="003E1EA3" w:rsidP="003E1EA3">
            <w:pPr>
              <w:jc w:val="center"/>
              <w:rPr>
                <w:rFonts w:cs="Arial"/>
                <w:b/>
                <w:bCs/>
                <w:color w:val="000000"/>
                <w:szCs w:val="24"/>
              </w:rPr>
            </w:pPr>
            <w:r w:rsidRPr="003E1EA3">
              <w:rPr>
                <w:rFonts w:cs="Arial"/>
                <w:b/>
                <w:bCs/>
                <w:color w:val="000000"/>
                <w:szCs w:val="24"/>
              </w:rPr>
              <w:t>Long Term Market Loan</w:t>
            </w:r>
          </w:p>
        </w:tc>
        <w:tc>
          <w:tcPr>
            <w:tcW w:w="1159" w:type="dxa"/>
            <w:tcBorders>
              <w:top w:val="single" w:sz="4" w:space="0" w:color="auto"/>
              <w:left w:val="nil"/>
              <w:bottom w:val="nil"/>
              <w:right w:val="single" w:sz="4" w:space="0" w:color="auto"/>
            </w:tcBorders>
            <w:shd w:val="clear" w:color="auto" w:fill="auto"/>
            <w:vAlign w:val="bottom"/>
            <w:hideMark/>
          </w:tcPr>
          <w:p w14:paraId="79A09EB8" w14:textId="77777777" w:rsidR="003E1EA3" w:rsidRPr="003E1EA3" w:rsidRDefault="003E1EA3" w:rsidP="003E1EA3">
            <w:pPr>
              <w:jc w:val="center"/>
              <w:rPr>
                <w:rFonts w:cs="Arial"/>
                <w:b/>
                <w:bCs/>
                <w:color w:val="000000"/>
                <w:szCs w:val="24"/>
              </w:rPr>
            </w:pPr>
            <w:r w:rsidRPr="003E1EA3">
              <w:rPr>
                <w:rFonts w:cs="Arial"/>
                <w:b/>
                <w:bCs/>
                <w:color w:val="000000"/>
                <w:szCs w:val="24"/>
              </w:rPr>
              <w:t>Other Locals</w:t>
            </w:r>
          </w:p>
        </w:tc>
        <w:tc>
          <w:tcPr>
            <w:tcW w:w="1559" w:type="dxa"/>
            <w:tcBorders>
              <w:top w:val="single" w:sz="4" w:space="0" w:color="auto"/>
              <w:left w:val="nil"/>
              <w:bottom w:val="nil"/>
              <w:right w:val="single" w:sz="4" w:space="0" w:color="auto"/>
            </w:tcBorders>
            <w:shd w:val="clear" w:color="auto" w:fill="auto"/>
            <w:vAlign w:val="bottom"/>
            <w:hideMark/>
          </w:tcPr>
          <w:p w14:paraId="21F60483" w14:textId="77777777" w:rsidR="003E1EA3" w:rsidRPr="003E1EA3" w:rsidRDefault="003E1EA3" w:rsidP="003E1EA3">
            <w:pPr>
              <w:jc w:val="center"/>
              <w:rPr>
                <w:rFonts w:cs="Arial"/>
                <w:b/>
                <w:bCs/>
                <w:color w:val="000000"/>
                <w:szCs w:val="24"/>
              </w:rPr>
            </w:pPr>
            <w:r w:rsidRPr="003E1EA3">
              <w:rPr>
                <w:rFonts w:cs="Arial"/>
                <w:b/>
                <w:bCs/>
                <w:color w:val="000000"/>
                <w:szCs w:val="24"/>
              </w:rPr>
              <w:t>Police, Fire &amp; Lancashire District Councils</w:t>
            </w:r>
          </w:p>
        </w:tc>
        <w:tc>
          <w:tcPr>
            <w:tcW w:w="1560" w:type="dxa"/>
            <w:tcBorders>
              <w:top w:val="single" w:sz="4" w:space="0" w:color="auto"/>
              <w:left w:val="nil"/>
              <w:bottom w:val="nil"/>
              <w:right w:val="single" w:sz="4" w:space="0" w:color="auto"/>
            </w:tcBorders>
            <w:shd w:val="clear" w:color="auto" w:fill="auto"/>
            <w:vAlign w:val="bottom"/>
            <w:hideMark/>
          </w:tcPr>
          <w:p w14:paraId="7617DF3E" w14:textId="77777777" w:rsidR="003E1EA3" w:rsidRPr="003E1EA3" w:rsidRDefault="003E1EA3" w:rsidP="003E1EA3">
            <w:pPr>
              <w:jc w:val="center"/>
              <w:rPr>
                <w:rFonts w:cs="Arial"/>
                <w:b/>
                <w:bCs/>
                <w:color w:val="000000"/>
                <w:szCs w:val="24"/>
              </w:rPr>
            </w:pPr>
            <w:r w:rsidRPr="003E1EA3">
              <w:rPr>
                <w:rFonts w:cs="Arial"/>
                <w:b/>
                <w:bCs/>
                <w:color w:val="000000"/>
                <w:szCs w:val="24"/>
              </w:rPr>
              <w:t xml:space="preserve"> Total </w:t>
            </w:r>
          </w:p>
        </w:tc>
      </w:tr>
      <w:tr w:rsidR="00375E2D" w:rsidRPr="003E1EA3" w14:paraId="4DA8E65B" w14:textId="77777777" w:rsidTr="00012BF5">
        <w:trPr>
          <w:trHeight w:val="197"/>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780C6801" w14:textId="77777777" w:rsidR="003E1EA3" w:rsidRPr="003E1EA3" w:rsidRDefault="003E1EA3" w:rsidP="003E1EA3">
            <w:pPr>
              <w:rPr>
                <w:rFonts w:cs="Arial"/>
                <w:b/>
                <w:bCs/>
                <w:color w:val="000000"/>
                <w:szCs w:val="24"/>
              </w:rPr>
            </w:pPr>
            <w:r w:rsidRPr="003E1EA3">
              <w:rPr>
                <w:rFonts w:cs="Arial"/>
                <w:b/>
                <w:bCs/>
                <w:color w:val="000000"/>
                <w:szCs w:val="24"/>
              </w:rPr>
              <w:t> </w:t>
            </w:r>
          </w:p>
        </w:tc>
        <w:tc>
          <w:tcPr>
            <w:tcW w:w="951" w:type="dxa"/>
            <w:tcBorders>
              <w:top w:val="nil"/>
              <w:left w:val="nil"/>
              <w:bottom w:val="single" w:sz="4" w:space="0" w:color="auto"/>
              <w:right w:val="single" w:sz="4" w:space="0" w:color="auto"/>
            </w:tcBorders>
            <w:shd w:val="clear" w:color="auto" w:fill="auto"/>
            <w:noWrap/>
            <w:vAlign w:val="bottom"/>
            <w:hideMark/>
          </w:tcPr>
          <w:p w14:paraId="0EFEECB2" w14:textId="77777777" w:rsidR="003E1EA3" w:rsidRPr="003E1EA3" w:rsidRDefault="003E1EA3" w:rsidP="003E1EA3">
            <w:pPr>
              <w:jc w:val="center"/>
              <w:rPr>
                <w:rFonts w:cs="Arial"/>
                <w:b/>
                <w:bCs/>
                <w:color w:val="000000"/>
                <w:szCs w:val="24"/>
              </w:rPr>
            </w:pPr>
            <w:r w:rsidRPr="003E1EA3">
              <w:rPr>
                <w:rFonts w:cs="Arial"/>
                <w:b/>
                <w:bCs/>
                <w:color w:val="000000"/>
                <w:szCs w:val="24"/>
              </w:rPr>
              <w:t>£m</w:t>
            </w:r>
          </w:p>
        </w:tc>
        <w:tc>
          <w:tcPr>
            <w:tcW w:w="1150" w:type="dxa"/>
            <w:tcBorders>
              <w:top w:val="nil"/>
              <w:left w:val="nil"/>
              <w:bottom w:val="single" w:sz="4" w:space="0" w:color="auto"/>
              <w:right w:val="single" w:sz="4" w:space="0" w:color="auto"/>
            </w:tcBorders>
            <w:shd w:val="clear" w:color="auto" w:fill="auto"/>
            <w:noWrap/>
            <w:vAlign w:val="bottom"/>
            <w:hideMark/>
          </w:tcPr>
          <w:p w14:paraId="64CB25BB" w14:textId="77777777" w:rsidR="003E1EA3" w:rsidRPr="003E1EA3" w:rsidRDefault="003E1EA3" w:rsidP="003E1EA3">
            <w:pPr>
              <w:jc w:val="center"/>
              <w:rPr>
                <w:rFonts w:cs="Arial"/>
                <w:b/>
                <w:bCs/>
                <w:color w:val="000000"/>
                <w:szCs w:val="24"/>
              </w:rPr>
            </w:pPr>
            <w:r w:rsidRPr="003E1EA3">
              <w:rPr>
                <w:rFonts w:cs="Arial"/>
                <w:b/>
                <w:bCs/>
                <w:color w:val="000000"/>
                <w:szCs w:val="24"/>
              </w:rPr>
              <w:t>£m</w:t>
            </w:r>
          </w:p>
        </w:tc>
        <w:tc>
          <w:tcPr>
            <w:tcW w:w="990" w:type="dxa"/>
            <w:tcBorders>
              <w:top w:val="nil"/>
              <w:left w:val="nil"/>
              <w:bottom w:val="single" w:sz="4" w:space="0" w:color="auto"/>
              <w:right w:val="single" w:sz="4" w:space="0" w:color="auto"/>
            </w:tcBorders>
            <w:shd w:val="clear" w:color="auto" w:fill="auto"/>
            <w:noWrap/>
            <w:vAlign w:val="bottom"/>
            <w:hideMark/>
          </w:tcPr>
          <w:p w14:paraId="60735232" w14:textId="77777777" w:rsidR="003E1EA3" w:rsidRPr="003E1EA3" w:rsidRDefault="003E1EA3" w:rsidP="003E1EA3">
            <w:pPr>
              <w:jc w:val="center"/>
              <w:rPr>
                <w:rFonts w:cs="Arial"/>
                <w:b/>
                <w:bCs/>
                <w:color w:val="000000"/>
                <w:szCs w:val="24"/>
              </w:rPr>
            </w:pPr>
            <w:r w:rsidRPr="003E1EA3">
              <w:rPr>
                <w:rFonts w:cs="Arial"/>
                <w:b/>
                <w:bCs/>
                <w:color w:val="000000"/>
                <w:szCs w:val="24"/>
              </w:rPr>
              <w:t>£m</w:t>
            </w:r>
          </w:p>
        </w:tc>
        <w:tc>
          <w:tcPr>
            <w:tcW w:w="1159" w:type="dxa"/>
            <w:tcBorders>
              <w:top w:val="nil"/>
              <w:left w:val="nil"/>
              <w:bottom w:val="single" w:sz="4" w:space="0" w:color="auto"/>
              <w:right w:val="single" w:sz="4" w:space="0" w:color="auto"/>
            </w:tcBorders>
            <w:shd w:val="clear" w:color="auto" w:fill="auto"/>
            <w:noWrap/>
            <w:vAlign w:val="bottom"/>
            <w:hideMark/>
          </w:tcPr>
          <w:p w14:paraId="43252B25" w14:textId="77777777" w:rsidR="003E1EA3" w:rsidRPr="003E1EA3" w:rsidRDefault="003E1EA3" w:rsidP="003E1EA3">
            <w:pPr>
              <w:jc w:val="center"/>
              <w:rPr>
                <w:rFonts w:cs="Arial"/>
                <w:b/>
                <w:bCs/>
                <w:color w:val="000000"/>
                <w:szCs w:val="24"/>
              </w:rPr>
            </w:pPr>
            <w:r w:rsidRPr="003E1EA3">
              <w:rPr>
                <w:rFonts w:cs="Arial"/>
                <w:b/>
                <w:bCs/>
                <w:color w:val="000000"/>
                <w:szCs w:val="24"/>
              </w:rPr>
              <w:t>£m</w:t>
            </w:r>
          </w:p>
        </w:tc>
        <w:tc>
          <w:tcPr>
            <w:tcW w:w="1559" w:type="dxa"/>
            <w:tcBorders>
              <w:top w:val="nil"/>
              <w:left w:val="nil"/>
              <w:bottom w:val="single" w:sz="4" w:space="0" w:color="auto"/>
              <w:right w:val="single" w:sz="4" w:space="0" w:color="auto"/>
            </w:tcBorders>
            <w:shd w:val="clear" w:color="auto" w:fill="auto"/>
            <w:noWrap/>
            <w:vAlign w:val="bottom"/>
            <w:hideMark/>
          </w:tcPr>
          <w:p w14:paraId="03F50243" w14:textId="77777777" w:rsidR="003E1EA3" w:rsidRPr="003E1EA3" w:rsidRDefault="003E1EA3" w:rsidP="003E1EA3">
            <w:pPr>
              <w:jc w:val="center"/>
              <w:rPr>
                <w:rFonts w:cs="Arial"/>
                <w:b/>
                <w:bCs/>
                <w:color w:val="000000"/>
                <w:szCs w:val="24"/>
              </w:rPr>
            </w:pPr>
            <w:r w:rsidRPr="003E1EA3">
              <w:rPr>
                <w:rFonts w:cs="Arial"/>
                <w:b/>
                <w:bCs/>
                <w:color w:val="000000"/>
                <w:szCs w:val="24"/>
              </w:rPr>
              <w:t>£m</w:t>
            </w:r>
          </w:p>
        </w:tc>
        <w:tc>
          <w:tcPr>
            <w:tcW w:w="1560" w:type="dxa"/>
            <w:tcBorders>
              <w:top w:val="nil"/>
              <w:left w:val="nil"/>
              <w:bottom w:val="single" w:sz="4" w:space="0" w:color="auto"/>
              <w:right w:val="single" w:sz="4" w:space="0" w:color="auto"/>
            </w:tcBorders>
            <w:shd w:val="clear" w:color="auto" w:fill="auto"/>
            <w:noWrap/>
            <w:vAlign w:val="bottom"/>
            <w:hideMark/>
          </w:tcPr>
          <w:p w14:paraId="69647351" w14:textId="77777777" w:rsidR="003E1EA3" w:rsidRPr="003E1EA3" w:rsidRDefault="003E1EA3" w:rsidP="003E1EA3">
            <w:pPr>
              <w:jc w:val="center"/>
              <w:rPr>
                <w:rFonts w:cs="Arial"/>
                <w:b/>
                <w:bCs/>
                <w:color w:val="000000"/>
                <w:szCs w:val="24"/>
              </w:rPr>
            </w:pPr>
            <w:r w:rsidRPr="003E1EA3">
              <w:rPr>
                <w:rFonts w:cs="Arial"/>
                <w:b/>
                <w:bCs/>
                <w:color w:val="000000"/>
                <w:szCs w:val="24"/>
              </w:rPr>
              <w:t>£m</w:t>
            </w:r>
          </w:p>
        </w:tc>
      </w:tr>
      <w:tr w:rsidR="00375E2D" w:rsidRPr="003E1EA3" w14:paraId="6F880133" w14:textId="77777777" w:rsidTr="00012BF5">
        <w:trPr>
          <w:trHeight w:val="197"/>
        </w:trPr>
        <w:tc>
          <w:tcPr>
            <w:tcW w:w="1557" w:type="dxa"/>
            <w:tcBorders>
              <w:top w:val="nil"/>
              <w:left w:val="single" w:sz="4" w:space="0" w:color="auto"/>
              <w:bottom w:val="nil"/>
              <w:right w:val="single" w:sz="4" w:space="0" w:color="auto"/>
            </w:tcBorders>
            <w:shd w:val="clear" w:color="auto" w:fill="auto"/>
            <w:noWrap/>
            <w:vAlign w:val="bottom"/>
            <w:hideMark/>
          </w:tcPr>
          <w:p w14:paraId="639A1B88" w14:textId="77777777" w:rsidR="003E1EA3" w:rsidRPr="003E1EA3" w:rsidRDefault="003E1EA3" w:rsidP="003E1EA3">
            <w:pPr>
              <w:rPr>
                <w:rFonts w:cs="Arial"/>
                <w:b/>
                <w:bCs/>
                <w:color w:val="000000"/>
                <w:szCs w:val="24"/>
              </w:rPr>
            </w:pPr>
            <w:r w:rsidRPr="003E1EA3">
              <w:rPr>
                <w:rFonts w:cs="Arial"/>
                <w:b/>
                <w:bCs/>
                <w:color w:val="000000"/>
                <w:szCs w:val="24"/>
              </w:rPr>
              <w:t>Balance 1 August 15</w:t>
            </w:r>
          </w:p>
        </w:tc>
        <w:tc>
          <w:tcPr>
            <w:tcW w:w="951" w:type="dxa"/>
            <w:tcBorders>
              <w:top w:val="nil"/>
              <w:left w:val="nil"/>
              <w:bottom w:val="nil"/>
              <w:right w:val="single" w:sz="4" w:space="0" w:color="auto"/>
            </w:tcBorders>
            <w:shd w:val="clear" w:color="auto" w:fill="auto"/>
            <w:noWrap/>
            <w:vAlign w:val="bottom"/>
            <w:hideMark/>
          </w:tcPr>
          <w:p w14:paraId="2A1F0E85" w14:textId="77777777" w:rsidR="003E1EA3" w:rsidRPr="003E1EA3" w:rsidRDefault="003E1EA3" w:rsidP="003E1EA3">
            <w:pPr>
              <w:jc w:val="center"/>
              <w:rPr>
                <w:rFonts w:cs="Arial"/>
                <w:b/>
                <w:bCs/>
                <w:color w:val="000000"/>
                <w:szCs w:val="24"/>
              </w:rPr>
            </w:pPr>
            <w:r w:rsidRPr="003E1EA3">
              <w:rPr>
                <w:rFonts w:cs="Arial"/>
                <w:b/>
                <w:bCs/>
                <w:color w:val="000000"/>
                <w:szCs w:val="24"/>
              </w:rPr>
              <w:t>213.10</w:t>
            </w:r>
          </w:p>
        </w:tc>
        <w:tc>
          <w:tcPr>
            <w:tcW w:w="1150" w:type="dxa"/>
            <w:tcBorders>
              <w:top w:val="nil"/>
              <w:left w:val="nil"/>
              <w:bottom w:val="nil"/>
              <w:right w:val="single" w:sz="4" w:space="0" w:color="auto"/>
            </w:tcBorders>
            <w:shd w:val="clear" w:color="auto" w:fill="auto"/>
            <w:noWrap/>
            <w:vAlign w:val="bottom"/>
            <w:hideMark/>
          </w:tcPr>
          <w:p w14:paraId="047CBD31" w14:textId="77777777" w:rsidR="003E1EA3" w:rsidRPr="003E1EA3" w:rsidRDefault="003E1EA3" w:rsidP="003E1EA3">
            <w:pPr>
              <w:jc w:val="center"/>
              <w:rPr>
                <w:rFonts w:cs="Arial"/>
                <w:b/>
                <w:bCs/>
                <w:color w:val="000000"/>
                <w:szCs w:val="24"/>
              </w:rPr>
            </w:pPr>
            <w:r w:rsidRPr="003E1EA3">
              <w:rPr>
                <w:rFonts w:cs="Arial"/>
                <w:b/>
                <w:bCs/>
                <w:color w:val="000000"/>
                <w:szCs w:val="24"/>
              </w:rPr>
              <w:t>125.75</w:t>
            </w:r>
          </w:p>
        </w:tc>
        <w:tc>
          <w:tcPr>
            <w:tcW w:w="990" w:type="dxa"/>
            <w:tcBorders>
              <w:top w:val="nil"/>
              <w:left w:val="nil"/>
              <w:bottom w:val="nil"/>
              <w:right w:val="single" w:sz="4" w:space="0" w:color="auto"/>
            </w:tcBorders>
            <w:shd w:val="clear" w:color="auto" w:fill="auto"/>
            <w:noWrap/>
            <w:vAlign w:val="bottom"/>
            <w:hideMark/>
          </w:tcPr>
          <w:p w14:paraId="4072AF1B" w14:textId="77777777" w:rsidR="003E1EA3" w:rsidRPr="003E1EA3" w:rsidRDefault="003E1EA3" w:rsidP="003E1EA3">
            <w:pPr>
              <w:jc w:val="center"/>
              <w:rPr>
                <w:rFonts w:cs="Arial"/>
                <w:b/>
                <w:bCs/>
                <w:color w:val="000000"/>
                <w:szCs w:val="24"/>
              </w:rPr>
            </w:pPr>
            <w:r w:rsidRPr="003E1EA3">
              <w:rPr>
                <w:rFonts w:cs="Arial"/>
                <w:b/>
                <w:bCs/>
                <w:color w:val="000000"/>
                <w:szCs w:val="24"/>
              </w:rPr>
              <w:t>52.23</w:t>
            </w:r>
          </w:p>
        </w:tc>
        <w:tc>
          <w:tcPr>
            <w:tcW w:w="1159" w:type="dxa"/>
            <w:tcBorders>
              <w:top w:val="nil"/>
              <w:left w:val="nil"/>
              <w:bottom w:val="nil"/>
              <w:right w:val="single" w:sz="4" w:space="0" w:color="auto"/>
            </w:tcBorders>
            <w:shd w:val="clear" w:color="auto" w:fill="auto"/>
            <w:noWrap/>
            <w:vAlign w:val="bottom"/>
            <w:hideMark/>
          </w:tcPr>
          <w:p w14:paraId="0AB48264" w14:textId="77777777" w:rsidR="003E1EA3" w:rsidRPr="003E1EA3" w:rsidRDefault="003E1EA3" w:rsidP="003E1EA3">
            <w:pPr>
              <w:jc w:val="center"/>
              <w:rPr>
                <w:rFonts w:cs="Arial"/>
                <w:b/>
                <w:bCs/>
                <w:color w:val="000000"/>
                <w:szCs w:val="24"/>
              </w:rPr>
            </w:pPr>
            <w:r w:rsidRPr="003E1EA3">
              <w:rPr>
                <w:rFonts w:cs="Arial"/>
                <w:b/>
                <w:bCs/>
                <w:color w:val="000000"/>
                <w:szCs w:val="24"/>
              </w:rPr>
              <w:t>566.90</w:t>
            </w:r>
          </w:p>
        </w:tc>
        <w:tc>
          <w:tcPr>
            <w:tcW w:w="1559" w:type="dxa"/>
            <w:tcBorders>
              <w:top w:val="nil"/>
              <w:left w:val="nil"/>
              <w:bottom w:val="nil"/>
              <w:right w:val="single" w:sz="4" w:space="0" w:color="auto"/>
            </w:tcBorders>
            <w:shd w:val="clear" w:color="auto" w:fill="auto"/>
            <w:noWrap/>
            <w:vAlign w:val="bottom"/>
            <w:hideMark/>
          </w:tcPr>
          <w:p w14:paraId="49FAF92A" w14:textId="77777777" w:rsidR="003E1EA3" w:rsidRPr="003E1EA3" w:rsidRDefault="003E1EA3" w:rsidP="003E1EA3">
            <w:pPr>
              <w:jc w:val="center"/>
              <w:rPr>
                <w:rFonts w:cs="Arial"/>
                <w:b/>
                <w:bCs/>
                <w:color w:val="000000"/>
                <w:szCs w:val="24"/>
              </w:rPr>
            </w:pPr>
            <w:r w:rsidRPr="003E1EA3">
              <w:rPr>
                <w:rFonts w:cs="Arial"/>
                <w:b/>
                <w:bCs/>
                <w:color w:val="000000"/>
                <w:szCs w:val="24"/>
              </w:rPr>
              <w:t>104.93</w:t>
            </w:r>
          </w:p>
        </w:tc>
        <w:tc>
          <w:tcPr>
            <w:tcW w:w="1560" w:type="dxa"/>
            <w:tcBorders>
              <w:top w:val="nil"/>
              <w:left w:val="nil"/>
              <w:bottom w:val="nil"/>
              <w:right w:val="single" w:sz="4" w:space="0" w:color="auto"/>
            </w:tcBorders>
            <w:shd w:val="clear" w:color="auto" w:fill="auto"/>
            <w:noWrap/>
            <w:vAlign w:val="bottom"/>
            <w:hideMark/>
          </w:tcPr>
          <w:p w14:paraId="3C359AFF" w14:textId="77777777" w:rsidR="003E1EA3" w:rsidRPr="003E1EA3" w:rsidRDefault="003E1EA3" w:rsidP="003E1EA3">
            <w:pPr>
              <w:jc w:val="center"/>
              <w:rPr>
                <w:rFonts w:cs="Arial"/>
                <w:b/>
                <w:bCs/>
                <w:color w:val="000000"/>
                <w:szCs w:val="24"/>
              </w:rPr>
            </w:pPr>
            <w:r w:rsidRPr="003E1EA3">
              <w:rPr>
                <w:rFonts w:cs="Arial"/>
                <w:b/>
                <w:bCs/>
                <w:color w:val="000000"/>
                <w:szCs w:val="24"/>
              </w:rPr>
              <w:t>1,062.91</w:t>
            </w:r>
          </w:p>
        </w:tc>
      </w:tr>
      <w:tr w:rsidR="00375E2D" w:rsidRPr="003E1EA3" w14:paraId="53FEC0BE" w14:textId="77777777" w:rsidTr="00012BF5">
        <w:trPr>
          <w:trHeight w:val="187"/>
        </w:trPr>
        <w:tc>
          <w:tcPr>
            <w:tcW w:w="1557" w:type="dxa"/>
            <w:tcBorders>
              <w:top w:val="nil"/>
              <w:left w:val="single" w:sz="4" w:space="0" w:color="auto"/>
              <w:bottom w:val="nil"/>
              <w:right w:val="single" w:sz="4" w:space="0" w:color="auto"/>
            </w:tcBorders>
            <w:shd w:val="clear" w:color="auto" w:fill="auto"/>
            <w:noWrap/>
            <w:vAlign w:val="bottom"/>
            <w:hideMark/>
          </w:tcPr>
          <w:p w14:paraId="4FA2F631" w14:textId="102C0E4F" w:rsidR="003E1EA3" w:rsidRPr="003E1EA3" w:rsidRDefault="00012BF5" w:rsidP="003E1EA3">
            <w:pPr>
              <w:rPr>
                <w:rFonts w:cs="Arial"/>
                <w:color w:val="000000"/>
                <w:szCs w:val="24"/>
              </w:rPr>
            </w:pPr>
            <w:r>
              <w:rPr>
                <w:rFonts w:cs="Arial"/>
                <w:color w:val="000000"/>
                <w:szCs w:val="24"/>
              </w:rPr>
              <w:t>Maturities</w:t>
            </w:r>
          </w:p>
        </w:tc>
        <w:tc>
          <w:tcPr>
            <w:tcW w:w="951" w:type="dxa"/>
            <w:tcBorders>
              <w:top w:val="nil"/>
              <w:left w:val="nil"/>
              <w:bottom w:val="nil"/>
              <w:right w:val="single" w:sz="4" w:space="0" w:color="auto"/>
            </w:tcBorders>
            <w:shd w:val="clear" w:color="auto" w:fill="auto"/>
            <w:noWrap/>
            <w:vAlign w:val="bottom"/>
            <w:hideMark/>
          </w:tcPr>
          <w:p w14:paraId="39CB8899" w14:textId="77777777" w:rsidR="003E1EA3" w:rsidRPr="003E1EA3" w:rsidRDefault="003E1EA3" w:rsidP="003E1EA3">
            <w:pPr>
              <w:jc w:val="center"/>
              <w:rPr>
                <w:rFonts w:cs="Arial"/>
                <w:color w:val="000000"/>
                <w:szCs w:val="24"/>
              </w:rPr>
            </w:pPr>
            <w:r w:rsidRPr="003E1EA3">
              <w:rPr>
                <w:rFonts w:cs="Arial"/>
                <w:color w:val="000000"/>
                <w:szCs w:val="24"/>
              </w:rPr>
              <w:t>0.00</w:t>
            </w:r>
          </w:p>
        </w:tc>
        <w:tc>
          <w:tcPr>
            <w:tcW w:w="1150" w:type="dxa"/>
            <w:tcBorders>
              <w:top w:val="nil"/>
              <w:left w:val="nil"/>
              <w:bottom w:val="nil"/>
              <w:right w:val="single" w:sz="4" w:space="0" w:color="auto"/>
            </w:tcBorders>
            <w:shd w:val="clear" w:color="auto" w:fill="auto"/>
            <w:noWrap/>
            <w:vAlign w:val="bottom"/>
            <w:hideMark/>
          </w:tcPr>
          <w:p w14:paraId="50442468" w14:textId="77777777" w:rsidR="003E1EA3" w:rsidRPr="003E1EA3" w:rsidRDefault="003E1EA3" w:rsidP="003E1EA3">
            <w:pPr>
              <w:jc w:val="center"/>
              <w:rPr>
                <w:rFonts w:cs="Arial"/>
                <w:color w:val="000000"/>
                <w:szCs w:val="24"/>
              </w:rPr>
            </w:pPr>
            <w:r w:rsidRPr="003E1EA3">
              <w:rPr>
                <w:rFonts w:cs="Arial"/>
                <w:color w:val="000000"/>
                <w:szCs w:val="24"/>
              </w:rPr>
              <w:t>0.00</w:t>
            </w:r>
          </w:p>
        </w:tc>
        <w:tc>
          <w:tcPr>
            <w:tcW w:w="990" w:type="dxa"/>
            <w:tcBorders>
              <w:top w:val="nil"/>
              <w:left w:val="nil"/>
              <w:bottom w:val="nil"/>
              <w:right w:val="single" w:sz="4" w:space="0" w:color="auto"/>
            </w:tcBorders>
            <w:shd w:val="clear" w:color="auto" w:fill="auto"/>
            <w:noWrap/>
            <w:vAlign w:val="bottom"/>
            <w:hideMark/>
          </w:tcPr>
          <w:p w14:paraId="613586EA" w14:textId="77777777" w:rsidR="003E1EA3" w:rsidRPr="003E1EA3" w:rsidRDefault="003E1EA3" w:rsidP="003E1EA3">
            <w:pPr>
              <w:jc w:val="center"/>
              <w:rPr>
                <w:rFonts w:cs="Arial"/>
                <w:color w:val="000000"/>
                <w:szCs w:val="24"/>
              </w:rPr>
            </w:pPr>
            <w:r w:rsidRPr="003E1EA3">
              <w:rPr>
                <w:rFonts w:cs="Arial"/>
                <w:color w:val="000000"/>
                <w:szCs w:val="24"/>
              </w:rPr>
              <w:t>-0.45</w:t>
            </w:r>
          </w:p>
        </w:tc>
        <w:tc>
          <w:tcPr>
            <w:tcW w:w="1159" w:type="dxa"/>
            <w:tcBorders>
              <w:top w:val="nil"/>
              <w:left w:val="nil"/>
              <w:bottom w:val="nil"/>
              <w:right w:val="single" w:sz="4" w:space="0" w:color="auto"/>
            </w:tcBorders>
            <w:shd w:val="clear" w:color="auto" w:fill="auto"/>
            <w:noWrap/>
            <w:vAlign w:val="bottom"/>
            <w:hideMark/>
          </w:tcPr>
          <w:p w14:paraId="5D85B6BE" w14:textId="77777777" w:rsidR="003E1EA3" w:rsidRPr="003E1EA3" w:rsidRDefault="003E1EA3" w:rsidP="003E1EA3">
            <w:pPr>
              <w:jc w:val="center"/>
              <w:rPr>
                <w:rFonts w:cs="Arial"/>
                <w:color w:val="000000"/>
                <w:szCs w:val="24"/>
              </w:rPr>
            </w:pPr>
            <w:r w:rsidRPr="003E1EA3">
              <w:rPr>
                <w:rFonts w:cs="Arial"/>
                <w:color w:val="000000"/>
                <w:szCs w:val="24"/>
              </w:rPr>
              <w:t>-133.40</w:t>
            </w:r>
          </w:p>
        </w:tc>
        <w:tc>
          <w:tcPr>
            <w:tcW w:w="1559" w:type="dxa"/>
            <w:tcBorders>
              <w:top w:val="nil"/>
              <w:left w:val="nil"/>
              <w:bottom w:val="nil"/>
              <w:right w:val="single" w:sz="4" w:space="0" w:color="auto"/>
            </w:tcBorders>
            <w:shd w:val="clear" w:color="auto" w:fill="auto"/>
            <w:noWrap/>
            <w:vAlign w:val="bottom"/>
            <w:hideMark/>
          </w:tcPr>
          <w:p w14:paraId="6DC07AE6" w14:textId="77777777" w:rsidR="003E1EA3" w:rsidRPr="003E1EA3" w:rsidRDefault="003E1EA3" w:rsidP="003E1EA3">
            <w:pPr>
              <w:jc w:val="center"/>
              <w:rPr>
                <w:rFonts w:cs="Arial"/>
                <w:color w:val="000000"/>
                <w:szCs w:val="24"/>
              </w:rPr>
            </w:pPr>
            <w:r w:rsidRPr="003E1EA3">
              <w:rPr>
                <w:rFonts w:cs="Arial"/>
                <w:color w:val="000000"/>
                <w:szCs w:val="24"/>
              </w:rPr>
              <w:t>-124.00</w:t>
            </w:r>
          </w:p>
        </w:tc>
        <w:tc>
          <w:tcPr>
            <w:tcW w:w="1560" w:type="dxa"/>
            <w:tcBorders>
              <w:top w:val="nil"/>
              <w:left w:val="nil"/>
              <w:bottom w:val="nil"/>
              <w:right w:val="single" w:sz="4" w:space="0" w:color="auto"/>
            </w:tcBorders>
            <w:shd w:val="clear" w:color="auto" w:fill="auto"/>
            <w:noWrap/>
            <w:vAlign w:val="bottom"/>
            <w:hideMark/>
          </w:tcPr>
          <w:p w14:paraId="0C37CEA1" w14:textId="77777777" w:rsidR="003E1EA3" w:rsidRPr="003E1EA3" w:rsidRDefault="003E1EA3" w:rsidP="003E1EA3">
            <w:pPr>
              <w:jc w:val="center"/>
              <w:rPr>
                <w:rFonts w:cs="Arial"/>
                <w:color w:val="000000"/>
                <w:szCs w:val="24"/>
              </w:rPr>
            </w:pPr>
            <w:r w:rsidRPr="003E1EA3">
              <w:rPr>
                <w:rFonts w:cs="Arial"/>
                <w:color w:val="000000"/>
                <w:szCs w:val="24"/>
              </w:rPr>
              <w:t>-257.84</w:t>
            </w:r>
          </w:p>
        </w:tc>
      </w:tr>
      <w:tr w:rsidR="00375E2D" w:rsidRPr="003E1EA3" w14:paraId="4578A01A" w14:textId="77777777" w:rsidTr="00012BF5">
        <w:trPr>
          <w:trHeight w:val="187"/>
        </w:trPr>
        <w:tc>
          <w:tcPr>
            <w:tcW w:w="1557" w:type="dxa"/>
            <w:tcBorders>
              <w:top w:val="nil"/>
              <w:left w:val="single" w:sz="4" w:space="0" w:color="auto"/>
              <w:bottom w:val="nil"/>
              <w:right w:val="single" w:sz="4" w:space="0" w:color="auto"/>
            </w:tcBorders>
            <w:shd w:val="clear" w:color="auto" w:fill="auto"/>
            <w:noWrap/>
            <w:vAlign w:val="bottom"/>
            <w:hideMark/>
          </w:tcPr>
          <w:p w14:paraId="6F351316" w14:textId="2AA00BAE" w:rsidR="003E1EA3" w:rsidRPr="003E1EA3" w:rsidRDefault="00012BF5" w:rsidP="003E1EA3">
            <w:pPr>
              <w:rPr>
                <w:rFonts w:cs="Arial"/>
                <w:color w:val="000000"/>
                <w:szCs w:val="24"/>
              </w:rPr>
            </w:pPr>
            <w:r w:rsidRPr="003E1EA3">
              <w:rPr>
                <w:rFonts w:cs="Arial"/>
                <w:color w:val="000000"/>
                <w:szCs w:val="24"/>
              </w:rPr>
              <w:t>New Borrowing</w:t>
            </w:r>
          </w:p>
        </w:tc>
        <w:tc>
          <w:tcPr>
            <w:tcW w:w="951" w:type="dxa"/>
            <w:tcBorders>
              <w:top w:val="nil"/>
              <w:left w:val="nil"/>
              <w:bottom w:val="nil"/>
              <w:right w:val="single" w:sz="4" w:space="0" w:color="auto"/>
            </w:tcBorders>
            <w:shd w:val="clear" w:color="auto" w:fill="auto"/>
            <w:noWrap/>
            <w:vAlign w:val="bottom"/>
            <w:hideMark/>
          </w:tcPr>
          <w:p w14:paraId="622A1991" w14:textId="77777777" w:rsidR="003E1EA3" w:rsidRPr="003E1EA3" w:rsidRDefault="003E1EA3" w:rsidP="003E1EA3">
            <w:pPr>
              <w:jc w:val="center"/>
              <w:rPr>
                <w:rFonts w:cs="Arial"/>
                <w:color w:val="000000"/>
                <w:szCs w:val="24"/>
              </w:rPr>
            </w:pPr>
            <w:r w:rsidRPr="003E1EA3">
              <w:rPr>
                <w:rFonts w:cs="Arial"/>
                <w:color w:val="000000"/>
                <w:szCs w:val="24"/>
              </w:rPr>
              <w:t>0.00</w:t>
            </w:r>
          </w:p>
        </w:tc>
        <w:tc>
          <w:tcPr>
            <w:tcW w:w="1150" w:type="dxa"/>
            <w:tcBorders>
              <w:top w:val="nil"/>
              <w:left w:val="nil"/>
              <w:bottom w:val="nil"/>
              <w:right w:val="single" w:sz="4" w:space="0" w:color="auto"/>
            </w:tcBorders>
            <w:shd w:val="clear" w:color="auto" w:fill="auto"/>
            <w:noWrap/>
            <w:vAlign w:val="bottom"/>
            <w:hideMark/>
          </w:tcPr>
          <w:p w14:paraId="0423C325" w14:textId="77777777" w:rsidR="003E1EA3" w:rsidRPr="003E1EA3" w:rsidRDefault="003E1EA3" w:rsidP="003E1EA3">
            <w:pPr>
              <w:jc w:val="center"/>
              <w:rPr>
                <w:rFonts w:cs="Arial"/>
                <w:color w:val="000000"/>
                <w:szCs w:val="24"/>
              </w:rPr>
            </w:pPr>
            <w:r w:rsidRPr="003E1EA3">
              <w:rPr>
                <w:rFonts w:cs="Arial"/>
                <w:color w:val="000000"/>
                <w:szCs w:val="24"/>
              </w:rPr>
              <w:t>0.00</w:t>
            </w:r>
          </w:p>
        </w:tc>
        <w:tc>
          <w:tcPr>
            <w:tcW w:w="990" w:type="dxa"/>
            <w:tcBorders>
              <w:top w:val="nil"/>
              <w:left w:val="nil"/>
              <w:bottom w:val="nil"/>
              <w:right w:val="single" w:sz="4" w:space="0" w:color="auto"/>
            </w:tcBorders>
            <w:shd w:val="clear" w:color="auto" w:fill="auto"/>
            <w:noWrap/>
            <w:vAlign w:val="bottom"/>
            <w:hideMark/>
          </w:tcPr>
          <w:p w14:paraId="6B021265" w14:textId="77777777" w:rsidR="003E1EA3" w:rsidRPr="003E1EA3" w:rsidRDefault="003E1EA3" w:rsidP="003E1EA3">
            <w:pPr>
              <w:jc w:val="center"/>
              <w:rPr>
                <w:rFonts w:cs="Arial"/>
                <w:color w:val="000000"/>
                <w:szCs w:val="24"/>
              </w:rPr>
            </w:pPr>
            <w:r w:rsidRPr="003E1EA3">
              <w:rPr>
                <w:rFonts w:cs="Arial"/>
                <w:color w:val="000000"/>
                <w:szCs w:val="24"/>
              </w:rPr>
              <w:t>0.00</w:t>
            </w:r>
          </w:p>
        </w:tc>
        <w:tc>
          <w:tcPr>
            <w:tcW w:w="1159" w:type="dxa"/>
            <w:tcBorders>
              <w:top w:val="nil"/>
              <w:left w:val="nil"/>
              <w:bottom w:val="nil"/>
              <w:right w:val="single" w:sz="4" w:space="0" w:color="auto"/>
            </w:tcBorders>
            <w:shd w:val="clear" w:color="auto" w:fill="auto"/>
            <w:noWrap/>
            <w:vAlign w:val="bottom"/>
            <w:hideMark/>
          </w:tcPr>
          <w:p w14:paraId="4988901F" w14:textId="77777777" w:rsidR="003E1EA3" w:rsidRPr="003E1EA3" w:rsidRDefault="003E1EA3" w:rsidP="003E1EA3">
            <w:pPr>
              <w:jc w:val="center"/>
              <w:rPr>
                <w:rFonts w:cs="Arial"/>
                <w:color w:val="000000"/>
                <w:szCs w:val="24"/>
              </w:rPr>
            </w:pPr>
            <w:r w:rsidRPr="003E1EA3">
              <w:rPr>
                <w:rFonts w:cs="Arial"/>
                <w:color w:val="000000"/>
                <w:szCs w:val="24"/>
              </w:rPr>
              <w:t>199.90</w:t>
            </w:r>
          </w:p>
        </w:tc>
        <w:tc>
          <w:tcPr>
            <w:tcW w:w="1559" w:type="dxa"/>
            <w:tcBorders>
              <w:top w:val="nil"/>
              <w:left w:val="nil"/>
              <w:bottom w:val="nil"/>
              <w:right w:val="single" w:sz="4" w:space="0" w:color="auto"/>
            </w:tcBorders>
            <w:shd w:val="clear" w:color="auto" w:fill="auto"/>
            <w:noWrap/>
            <w:vAlign w:val="bottom"/>
            <w:hideMark/>
          </w:tcPr>
          <w:p w14:paraId="170DD09A" w14:textId="77777777" w:rsidR="003E1EA3" w:rsidRPr="003E1EA3" w:rsidRDefault="003E1EA3" w:rsidP="003E1EA3">
            <w:pPr>
              <w:jc w:val="center"/>
              <w:rPr>
                <w:rFonts w:cs="Arial"/>
                <w:color w:val="000000"/>
                <w:szCs w:val="24"/>
              </w:rPr>
            </w:pPr>
            <w:r w:rsidRPr="003E1EA3">
              <w:rPr>
                <w:rFonts w:cs="Arial"/>
                <w:color w:val="000000"/>
                <w:szCs w:val="24"/>
              </w:rPr>
              <w:t>114.85</w:t>
            </w:r>
          </w:p>
        </w:tc>
        <w:tc>
          <w:tcPr>
            <w:tcW w:w="1560" w:type="dxa"/>
            <w:tcBorders>
              <w:top w:val="nil"/>
              <w:left w:val="nil"/>
              <w:bottom w:val="nil"/>
              <w:right w:val="single" w:sz="4" w:space="0" w:color="auto"/>
            </w:tcBorders>
            <w:shd w:val="clear" w:color="auto" w:fill="auto"/>
            <w:noWrap/>
            <w:vAlign w:val="bottom"/>
            <w:hideMark/>
          </w:tcPr>
          <w:p w14:paraId="08086789" w14:textId="77777777" w:rsidR="003E1EA3" w:rsidRPr="003E1EA3" w:rsidRDefault="003E1EA3" w:rsidP="003E1EA3">
            <w:pPr>
              <w:jc w:val="center"/>
              <w:rPr>
                <w:rFonts w:cs="Arial"/>
                <w:color w:val="000000"/>
                <w:szCs w:val="24"/>
              </w:rPr>
            </w:pPr>
            <w:r w:rsidRPr="003E1EA3">
              <w:rPr>
                <w:rFonts w:cs="Arial"/>
                <w:color w:val="000000"/>
                <w:szCs w:val="24"/>
              </w:rPr>
              <w:t>314.75</w:t>
            </w:r>
          </w:p>
        </w:tc>
      </w:tr>
      <w:tr w:rsidR="00375E2D" w:rsidRPr="003E1EA3" w14:paraId="0A55DEA1" w14:textId="77777777" w:rsidTr="00012BF5">
        <w:trPr>
          <w:trHeight w:val="197"/>
        </w:trPr>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2DB2A" w14:textId="77777777" w:rsidR="003E1EA3" w:rsidRPr="003E1EA3" w:rsidRDefault="003E1EA3" w:rsidP="003E1EA3">
            <w:pPr>
              <w:rPr>
                <w:rFonts w:cs="Arial"/>
                <w:b/>
                <w:bCs/>
                <w:color w:val="000000"/>
                <w:szCs w:val="24"/>
              </w:rPr>
            </w:pPr>
            <w:r w:rsidRPr="003E1EA3">
              <w:rPr>
                <w:rFonts w:cs="Arial"/>
                <w:b/>
                <w:bCs/>
                <w:color w:val="000000"/>
                <w:szCs w:val="24"/>
              </w:rPr>
              <w:t>Balance 30 November 2015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14:paraId="65BEAC4D" w14:textId="77777777" w:rsidR="003E1EA3" w:rsidRPr="003E1EA3" w:rsidRDefault="003E1EA3" w:rsidP="003E1EA3">
            <w:pPr>
              <w:jc w:val="center"/>
              <w:rPr>
                <w:rFonts w:cs="Arial"/>
                <w:b/>
                <w:bCs/>
                <w:color w:val="000000"/>
                <w:szCs w:val="24"/>
              </w:rPr>
            </w:pPr>
            <w:r w:rsidRPr="003E1EA3">
              <w:rPr>
                <w:rFonts w:cs="Arial"/>
                <w:b/>
                <w:bCs/>
                <w:color w:val="000000"/>
                <w:szCs w:val="24"/>
              </w:rPr>
              <w:t>213.10</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5EE50234" w14:textId="77777777" w:rsidR="003E1EA3" w:rsidRPr="003E1EA3" w:rsidRDefault="003E1EA3" w:rsidP="003E1EA3">
            <w:pPr>
              <w:jc w:val="center"/>
              <w:rPr>
                <w:rFonts w:cs="Arial"/>
                <w:b/>
                <w:bCs/>
                <w:color w:val="000000"/>
                <w:szCs w:val="24"/>
              </w:rPr>
            </w:pPr>
            <w:r w:rsidRPr="003E1EA3">
              <w:rPr>
                <w:rFonts w:cs="Arial"/>
                <w:b/>
                <w:bCs/>
                <w:color w:val="000000"/>
                <w:szCs w:val="24"/>
              </w:rPr>
              <w:t>125.75</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29264E0" w14:textId="77777777" w:rsidR="003E1EA3" w:rsidRPr="003E1EA3" w:rsidRDefault="003E1EA3" w:rsidP="003E1EA3">
            <w:pPr>
              <w:jc w:val="center"/>
              <w:rPr>
                <w:rFonts w:cs="Arial"/>
                <w:b/>
                <w:bCs/>
                <w:color w:val="000000"/>
                <w:szCs w:val="24"/>
              </w:rPr>
            </w:pPr>
            <w:r w:rsidRPr="003E1EA3">
              <w:rPr>
                <w:rFonts w:cs="Arial"/>
                <w:b/>
                <w:bCs/>
                <w:color w:val="000000"/>
                <w:szCs w:val="24"/>
              </w:rPr>
              <w:t>51.78</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1534B301" w14:textId="77777777" w:rsidR="003E1EA3" w:rsidRPr="003E1EA3" w:rsidRDefault="003E1EA3" w:rsidP="003E1EA3">
            <w:pPr>
              <w:jc w:val="center"/>
              <w:rPr>
                <w:rFonts w:cs="Arial"/>
                <w:b/>
                <w:bCs/>
                <w:color w:val="000000"/>
                <w:szCs w:val="24"/>
              </w:rPr>
            </w:pPr>
            <w:r w:rsidRPr="003E1EA3">
              <w:rPr>
                <w:rFonts w:cs="Arial"/>
                <w:b/>
                <w:bCs/>
                <w:color w:val="000000"/>
                <w:szCs w:val="24"/>
              </w:rPr>
              <w:t>633.40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C3E7BC" w14:textId="77777777" w:rsidR="003E1EA3" w:rsidRPr="003E1EA3" w:rsidRDefault="003E1EA3" w:rsidP="003E1EA3">
            <w:pPr>
              <w:jc w:val="center"/>
              <w:rPr>
                <w:rFonts w:cs="Arial"/>
                <w:b/>
                <w:bCs/>
                <w:color w:val="000000"/>
                <w:szCs w:val="24"/>
              </w:rPr>
            </w:pPr>
            <w:r w:rsidRPr="003E1EA3">
              <w:rPr>
                <w:rFonts w:cs="Arial"/>
                <w:b/>
                <w:bCs/>
                <w:color w:val="000000"/>
                <w:szCs w:val="24"/>
              </w:rPr>
              <w:t>95.78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39DDDE0" w14:textId="77777777" w:rsidR="003E1EA3" w:rsidRPr="003E1EA3" w:rsidRDefault="003E1EA3" w:rsidP="003E1EA3">
            <w:pPr>
              <w:jc w:val="center"/>
              <w:rPr>
                <w:rFonts w:cs="Arial"/>
                <w:b/>
                <w:bCs/>
                <w:color w:val="000000"/>
                <w:szCs w:val="24"/>
              </w:rPr>
            </w:pPr>
            <w:r w:rsidRPr="003E1EA3">
              <w:rPr>
                <w:rFonts w:cs="Arial"/>
                <w:b/>
                <w:bCs/>
                <w:color w:val="000000"/>
                <w:szCs w:val="24"/>
              </w:rPr>
              <w:t>1,119.81</w:t>
            </w:r>
          </w:p>
        </w:tc>
      </w:tr>
      <w:tr w:rsidR="00375E2D" w:rsidRPr="003E1EA3" w14:paraId="384CED98" w14:textId="77777777" w:rsidTr="00012BF5">
        <w:trPr>
          <w:trHeight w:val="187"/>
        </w:trPr>
        <w:tc>
          <w:tcPr>
            <w:tcW w:w="1557" w:type="dxa"/>
            <w:tcBorders>
              <w:top w:val="nil"/>
              <w:left w:val="single" w:sz="4" w:space="0" w:color="auto"/>
              <w:bottom w:val="nil"/>
              <w:right w:val="single" w:sz="4" w:space="0" w:color="auto"/>
            </w:tcBorders>
            <w:shd w:val="clear" w:color="auto" w:fill="auto"/>
            <w:noWrap/>
            <w:vAlign w:val="bottom"/>
            <w:hideMark/>
          </w:tcPr>
          <w:p w14:paraId="1B4A6A88" w14:textId="77777777" w:rsidR="003E1EA3" w:rsidRPr="003E1EA3" w:rsidRDefault="003E1EA3" w:rsidP="003E1EA3">
            <w:pPr>
              <w:rPr>
                <w:rFonts w:cs="Arial"/>
                <w:color w:val="000000"/>
                <w:szCs w:val="24"/>
              </w:rPr>
            </w:pPr>
            <w:r w:rsidRPr="003E1EA3">
              <w:rPr>
                <w:rFonts w:cs="Arial"/>
                <w:color w:val="000000"/>
                <w:szCs w:val="24"/>
              </w:rPr>
              <w:t> </w:t>
            </w:r>
          </w:p>
        </w:tc>
        <w:tc>
          <w:tcPr>
            <w:tcW w:w="951" w:type="dxa"/>
            <w:tcBorders>
              <w:top w:val="nil"/>
              <w:left w:val="nil"/>
              <w:bottom w:val="nil"/>
              <w:right w:val="single" w:sz="4" w:space="0" w:color="auto"/>
            </w:tcBorders>
            <w:shd w:val="clear" w:color="auto" w:fill="auto"/>
            <w:noWrap/>
            <w:vAlign w:val="bottom"/>
            <w:hideMark/>
          </w:tcPr>
          <w:p w14:paraId="10E5A50C" w14:textId="77777777" w:rsidR="003E1EA3" w:rsidRPr="003E1EA3" w:rsidRDefault="003E1EA3" w:rsidP="003E1EA3">
            <w:pPr>
              <w:jc w:val="center"/>
              <w:rPr>
                <w:rFonts w:cs="Arial"/>
                <w:color w:val="000000"/>
                <w:szCs w:val="24"/>
              </w:rPr>
            </w:pPr>
            <w:r w:rsidRPr="003E1EA3">
              <w:rPr>
                <w:rFonts w:cs="Arial"/>
                <w:color w:val="000000"/>
                <w:szCs w:val="24"/>
              </w:rPr>
              <w:t> </w:t>
            </w:r>
          </w:p>
        </w:tc>
        <w:tc>
          <w:tcPr>
            <w:tcW w:w="1150" w:type="dxa"/>
            <w:tcBorders>
              <w:top w:val="nil"/>
              <w:left w:val="nil"/>
              <w:bottom w:val="nil"/>
              <w:right w:val="single" w:sz="4" w:space="0" w:color="auto"/>
            </w:tcBorders>
            <w:shd w:val="clear" w:color="auto" w:fill="auto"/>
            <w:noWrap/>
            <w:vAlign w:val="bottom"/>
            <w:hideMark/>
          </w:tcPr>
          <w:p w14:paraId="54F97554" w14:textId="77777777" w:rsidR="003E1EA3" w:rsidRPr="003E1EA3" w:rsidRDefault="003E1EA3" w:rsidP="003E1EA3">
            <w:pPr>
              <w:jc w:val="center"/>
              <w:rPr>
                <w:rFonts w:cs="Arial"/>
                <w:color w:val="000000"/>
                <w:szCs w:val="24"/>
              </w:rPr>
            </w:pPr>
            <w:r w:rsidRPr="003E1EA3">
              <w:rPr>
                <w:rFonts w:cs="Arial"/>
                <w:color w:val="000000"/>
                <w:szCs w:val="24"/>
              </w:rPr>
              <w:t> </w:t>
            </w:r>
          </w:p>
        </w:tc>
        <w:tc>
          <w:tcPr>
            <w:tcW w:w="990" w:type="dxa"/>
            <w:tcBorders>
              <w:top w:val="nil"/>
              <w:left w:val="nil"/>
              <w:bottom w:val="nil"/>
              <w:right w:val="single" w:sz="4" w:space="0" w:color="auto"/>
            </w:tcBorders>
            <w:shd w:val="clear" w:color="auto" w:fill="auto"/>
            <w:noWrap/>
            <w:vAlign w:val="bottom"/>
            <w:hideMark/>
          </w:tcPr>
          <w:p w14:paraId="01170BA9" w14:textId="77777777" w:rsidR="003E1EA3" w:rsidRPr="003E1EA3" w:rsidRDefault="003E1EA3" w:rsidP="003E1EA3">
            <w:pPr>
              <w:jc w:val="center"/>
              <w:rPr>
                <w:rFonts w:cs="Arial"/>
                <w:color w:val="000000"/>
                <w:szCs w:val="24"/>
              </w:rPr>
            </w:pPr>
            <w:r w:rsidRPr="003E1EA3">
              <w:rPr>
                <w:rFonts w:cs="Arial"/>
                <w:color w:val="000000"/>
                <w:szCs w:val="24"/>
              </w:rPr>
              <w:t> </w:t>
            </w:r>
          </w:p>
        </w:tc>
        <w:tc>
          <w:tcPr>
            <w:tcW w:w="1159" w:type="dxa"/>
            <w:tcBorders>
              <w:top w:val="nil"/>
              <w:left w:val="nil"/>
              <w:bottom w:val="nil"/>
              <w:right w:val="single" w:sz="4" w:space="0" w:color="auto"/>
            </w:tcBorders>
            <w:shd w:val="clear" w:color="auto" w:fill="auto"/>
            <w:noWrap/>
            <w:vAlign w:val="bottom"/>
            <w:hideMark/>
          </w:tcPr>
          <w:p w14:paraId="6C26F456" w14:textId="77777777" w:rsidR="003E1EA3" w:rsidRPr="003E1EA3" w:rsidRDefault="003E1EA3" w:rsidP="003E1EA3">
            <w:pPr>
              <w:jc w:val="center"/>
              <w:rPr>
                <w:rFonts w:cs="Arial"/>
                <w:color w:val="000000"/>
                <w:szCs w:val="24"/>
              </w:rPr>
            </w:pPr>
            <w:r w:rsidRPr="003E1EA3">
              <w:rPr>
                <w:rFonts w:cs="Arial"/>
                <w:color w:val="000000"/>
                <w:szCs w:val="24"/>
              </w:rPr>
              <w:t> </w:t>
            </w:r>
          </w:p>
        </w:tc>
        <w:tc>
          <w:tcPr>
            <w:tcW w:w="1559" w:type="dxa"/>
            <w:tcBorders>
              <w:top w:val="nil"/>
              <w:left w:val="nil"/>
              <w:bottom w:val="nil"/>
              <w:right w:val="single" w:sz="4" w:space="0" w:color="auto"/>
            </w:tcBorders>
            <w:shd w:val="clear" w:color="auto" w:fill="auto"/>
            <w:noWrap/>
            <w:vAlign w:val="bottom"/>
            <w:hideMark/>
          </w:tcPr>
          <w:p w14:paraId="2D786BF3" w14:textId="77777777" w:rsidR="003E1EA3" w:rsidRPr="003E1EA3" w:rsidRDefault="003E1EA3" w:rsidP="003E1EA3">
            <w:pPr>
              <w:jc w:val="center"/>
              <w:rPr>
                <w:rFonts w:cs="Arial"/>
                <w:color w:val="000000"/>
                <w:szCs w:val="24"/>
              </w:rPr>
            </w:pPr>
            <w:r w:rsidRPr="003E1EA3">
              <w:rPr>
                <w:rFonts w:cs="Arial"/>
                <w:color w:val="000000"/>
                <w:szCs w:val="24"/>
              </w:rPr>
              <w:t> </w:t>
            </w:r>
          </w:p>
        </w:tc>
        <w:tc>
          <w:tcPr>
            <w:tcW w:w="1560" w:type="dxa"/>
            <w:tcBorders>
              <w:top w:val="nil"/>
              <w:left w:val="nil"/>
              <w:bottom w:val="nil"/>
              <w:right w:val="single" w:sz="4" w:space="0" w:color="auto"/>
            </w:tcBorders>
            <w:shd w:val="clear" w:color="auto" w:fill="auto"/>
            <w:noWrap/>
            <w:vAlign w:val="bottom"/>
            <w:hideMark/>
          </w:tcPr>
          <w:p w14:paraId="7FD20D15" w14:textId="77777777" w:rsidR="003E1EA3" w:rsidRPr="003E1EA3" w:rsidRDefault="003E1EA3" w:rsidP="003E1EA3">
            <w:pPr>
              <w:jc w:val="center"/>
              <w:rPr>
                <w:rFonts w:cs="Arial"/>
                <w:color w:val="000000"/>
                <w:szCs w:val="24"/>
              </w:rPr>
            </w:pPr>
            <w:r w:rsidRPr="003E1EA3">
              <w:rPr>
                <w:rFonts w:cs="Arial"/>
                <w:color w:val="000000"/>
                <w:szCs w:val="24"/>
              </w:rPr>
              <w:t> </w:t>
            </w:r>
          </w:p>
        </w:tc>
      </w:tr>
      <w:tr w:rsidR="00375E2D" w:rsidRPr="003E1EA3" w14:paraId="45BCFC5E" w14:textId="77777777" w:rsidTr="00012BF5">
        <w:trPr>
          <w:trHeight w:val="376"/>
        </w:trPr>
        <w:tc>
          <w:tcPr>
            <w:tcW w:w="1557" w:type="dxa"/>
            <w:tcBorders>
              <w:top w:val="nil"/>
              <w:left w:val="single" w:sz="4" w:space="0" w:color="auto"/>
              <w:bottom w:val="nil"/>
              <w:right w:val="single" w:sz="4" w:space="0" w:color="auto"/>
            </w:tcBorders>
            <w:shd w:val="clear" w:color="auto" w:fill="auto"/>
            <w:vAlign w:val="bottom"/>
            <w:hideMark/>
          </w:tcPr>
          <w:p w14:paraId="7A43A992" w14:textId="77777777" w:rsidR="003E1EA3" w:rsidRPr="003E1EA3" w:rsidRDefault="003E1EA3" w:rsidP="003E1EA3">
            <w:pPr>
              <w:rPr>
                <w:rFonts w:cs="Arial"/>
                <w:color w:val="000000"/>
                <w:szCs w:val="24"/>
              </w:rPr>
            </w:pPr>
            <w:r w:rsidRPr="003E1EA3">
              <w:rPr>
                <w:rFonts w:cs="Arial"/>
                <w:color w:val="000000"/>
                <w:szCs w:val="24"/>
              </w:rPr>
              <w:t>Public Finance Initiative (PFI) Liability</w:t>
            </w:r>
          </w:p>
        </w:tc>
        <w:tc>
          <w:tcPr>
            <w:tcW w:w="951" w:type="dxa"/>
            <w:tcBorders>
              <w:top w:val="nil"/>
              <w:left w:val="nil"/>
              <w:bottom w:val="nil"/>
              <w:right w:val="single" w:sz="4" w:space="0" w:color="auto"/>
            </w:tcBorders>
            <w:shd w:val="clear" w:color="auto" w:fill="auto"/>
            <w:noWrap/>
            <w:vAlign w:val="center"/>
            <w:hideMark/>
          </w:tcPr>
          <w:p w14:paraId="10CD3F93" w14:textId="77777777" w:rsidR="003E1EA3" w:rsidRPr="003E1EA3" w:rsidRDefault="003E1EA3" w:rsidP="003E1EA3">
            <w:pPr>
              <w:jc w:val="center"/>
              <w:rPr>
                <w:rFonts w:cs="Arial"/>
                <w:color w:val="000000"/>
                <w:szCs w:val="24"/>
              </w:rPr>
            </w:pPr>
            <w:r w:rsidRPr="003E1EA3">
              <w:rPr>
                <w:rFonts w:cs="Arial"/>
                <w:color w:val="000000"/>
                <w:szCs w:val="24"/>
              </w:rPr>
              <w:t>-</w:t>
            </w:r>
          </w:p>
        </w:tc>
        <w:tc>
          <w:tcPr>
            <w:tcW w:w="1150" w:type="dxa"/>
            <w:tcBorders>
              <w:top w:val="nil"/>
              <w:left w:val="nil"/>
              <w:bottom w:val="nil"/>
              <w:right w:val="single" w:sz="4" w:space="0" w:color="auto"/>
            </w:tcBorders>
            <w:shd w:val="clear" w:color="auto" w:fill="auto"/>
            <w:noWrap/>
            <w:vAlign w:val="center"/>
            <w:hideMark/>
          </w:tcPr>
          <w:p w14:paraId="2D0CB5DB" w14:textId="77777777" w:rsidR="003E1EA3" w:rsidRPr="003E1EA3" w:rsidRDefault="003E1EA3" w:rsidP="003E1EA3">
            <w:pPr>
              <w:jc w:val="center"/>
              <w:rPr>
                <w:rFonts w:cs="Arial"/>
                <w:color w:val="000000"/>
                <w:szCs w:val="24"/>
              </w:rPr>
            </w:pPr>
            <w:r w:rsidRPr="003E1EA3">
              <w:rPr>
                <w:rFonts w:cs="Arial"/>
                <w:color w:val="000000"/>
                <w:szCs w:val="24"/>
              </w:rPr>
              <w:t>-</w:t>
            </w:r>
          </w:p>
        </w:tc>
        <w:tc>
          <w:tcPr>
            <w:tcW w:w="990" w:type="dxa"/>
            <w:tcBorders>
              <w:top w:val="nil"/>
              <w:left w:val="nil"/>
              <w:bottom w:val="nil"/>
              <w:right w:val="single" w:sz="4" w:space="0" w:color="auto"/>
            </w:tcBorders>
            <w:shd w:val="clear" w:color="auto" w:fill="auto"/>
            <w:noWrap/>
            <w:vAlign w:val="center"/>
            <w:hideMark/>
          </w:tcPr>
          <w:p w14:paraId="5BA96906" w14:textId="77777777" w:rsidR="003E1EA3" w:rsidRPr="003E1EA3" w:rsidRDefault="003E1EA3" w:rsidP="003E1EA3">
            <w:pPr>
              <w:jc w:val="center"/>
              <w:rPr>
                <w:rFonts w:cs="Arial"/>
                <w:color w:val="000000"/>
                <w:szCs w:val="24"/>
              </w:rPr>
            </w:pPr>
            <w:r w:rsidRPr="003E1EA3">
              <w:rPr>
                <w:rFonts w:cs="Arial"/>
                <w:color w:val="000000"/>
                <w:szCs w:val="24"/>
              </w:rPr>
              <w:t>-</w:t>
            </w:r>
          </w:p>
        </w:tc>
        <w:tc>
          <w:tcPr>
            <w:tcW w:w="1159" w:type="dxa"/>
            <w:tcBorders>
              <w:top w:val="nil"/>
              <w:left w:val="nil"/>
              <w:bottom w:val="nil"/>
              <w:right w:val="single" w:sz="4" w:space="0" w:color="auto"/>
            </w:tcBorders>
            <w:shd w:val="clear" w:color="auto" w:fill="auto"/>
            <w:noWrap/>
            <w:vAlign w:val="center"/>
            <w:hideMark/>
          </w:tcPr>
          <w:p w14:paraId="0D2EFC8D" w14:textId="77777777" w:rsidR="003E1EA3" w:rsidRPr="003E1EA3" w:rsidRDefault="003E1EA3" w:rsidP="003E1EA3">
            <w:pPr>
              <w:jc w:val="center"/>
              <w:rPr>
                <w:rFonts w:cs="Arial"/>
                <w:color w:val="000000"/>
                <w:szCs w:val="24"/>
              </w:rPr>
            </w:pPr>
            <w:r w:rsidRPr="003E1EA3">
              <w:rPr>
                <w:rFonts w:cs="Arial"/>
                <w:color w:val="000000"/>
                <w:szCs w:val="24"/>
              </w:rPr>
              <w:t>-</w:t>
            </w:r>
          </w:p>
        </w:tc>
        <w:tc>
          <w:tcPr>
            <w:tcW w:w="1559" w:type="dxa"/>
            <w:tcBorders>
              <w:top w:val="nil"/>
              <w:left w:val="nil"/>
              <w:bottom w:val="nil"/>
              <w:right w:val="single" w:sz="4" w:space="0" w:color="auto"/>
            </w:tcBorders>
            <w:shd w:val="clear" w:color="auto" w:fill="auto"/>
            <w:noWrap/>
            <w:vAlign w:val="center"/>
            <w:hideMark/>
          </w:tcPr>
          <w:p w14:paraId="5E9B59E1" w14:textId="77777777" w:rsidR="003E1EA3" w:rsidRPr="003E1EA3" w:rsidRDefault="003E1EA3" w:rsidP="003E1EA3">
            <w:pPr>
              <w:jc w:val="center"/>
              <w:rPr>
                <w:rFonts w:cs="Arial"/>
                <w:color w:val="000000"/>
                <w:szCs w:val="24"/>
              </w:rPr>
            </w:pPr>
            <w:r w:rsidRPr="003E1EA3">
              <w:rPr>
                <w:rFonts w:cs="Arial"/>
                <w:color w:val="000000"/>
                <w:szCs w:val="24"/>
              </w:rPr>
              <w:t>-</w:t>
            </w:r>
          </w:p>
        </w:tc>
        <w:tc>
          <w:tcPr>
            <w:tcW w:w="1560" w:type="dxa"/>
            <w:tcBorders>
              <w:top w:val="nil"/>
              <w:left w:val="nil"/>
              <w:bottom w:val="nil"/>
              <w:right w:val="single" w:sz="4" w:space="0" w:color="auto"/>
            </w:tcBorders>
            <w:shd w:val="clear" w:color="auto" w:fill="auto"/>
            <w:noWrap/>
            <w:vAlign w:val="center"/>
            <w:hideMark/>
          </w:tcPr>
          <w:p w14:paraId="08D3F079" w14:textId="77777777" w:rsidR="003E1EA3" w:rsidRPr="003E1EA3" w:rsidRDefault="003E1EA3" w:rsidP="003E1EA3">
            <w:pPr>
              <w:jc w:val="center"/>
              <w:rPr>
                <w:rFonts w:cs="Arial"/>
                <w:color w:val="000000"/>
                <w:szCs w:val="24"/>
              </w:rPr>
            </w:pPr>
            <w:r w:rsidRPr="003E1EA3">
              <w:rPr>
                <w:rFonts w:cs="Arial"/>
                <w:color w:val="000000"/>
                <w:szCs w:val="24"/>
              </w:rPr>
              <w:t>172.00</w:t>
            </w:r>
          </w:p>
        </w:tc>
      </w:tr>
      <w:tr w:rsidR="00375E2D" w:rsidRPr="003E1EA3" w14:paraId="1DC7DA1B" w14:textId="77777777" w:rsidTr="00012BF5">
        <w:trPr>
          <w:trHeight w:val="394"/>
        </w:trPr>
        <w:tc>
          <w:tcPr>
            <w:tcW w:w="15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2A74A4" w14:textId="77777777" w:rsidR="003E1EA3" w:rsidRPr="003E1EA3" w:rsidRDefault="003E1EA3" w:rsidP="003E1EA3">
            <w:pPr>
              <w:rPr>
                <w:rFonts w:cs="Arial"/>
                <w:b/>
                <w:bCs/>
                <w:color w:val="000000"/>
                <w:szCs w:val="24"/>
              </w:rPr>
            </w:pPr>
            <w:r w:rsidRPr="003E1EA3">
              <w:rPr>
                <w:rFonts w:cs="Arial"/>
                <w:b/>
                <w:bCs/>
                <w:color w:val="000000"/>
                <w:szCs w:val="24"/>
              </w:rPr>
              <w:t xml:space="preserve">Total Borrowing </w:t>
            </w:r>
            <w:r w:rsidRPr="003E1EA3">
              <w:rPr>
                <w:rFonts w:cs="Arial"/>
                <w:b/>
                <w:bCs/>
                <w:color w:val="000000"/>
                <w:szCs w:val="24"/>
              </w:rPr>
              <w:br/>
              <w:t>&amp; PFI</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14:paraId="3DC9B742" w14:textId="77777777" w:rsidR="003E1EA3" w:rsidRPr="003E1EA3" w:rsidRDefault="003E1EA3" w:rsidP="003E1EA3">
            <w:pPr>
              <w:jc w:val="center"/>
              <w:rPr>
                <w:rFonts w:cs="Arial"/>
                <w:b/>
                <w:bCs/>
                <w:color w:val="000000"/>
                <w:szCs w:val="24"/>
              </w:rPr>
            </w:pPr>
            <w:r w:rsidRPr="003E1EA3">
              <w:rPr>
                <w:rFonts w:cs="Arial"/>
                <w:b/>
                <w:bCs/>
                <w:color w:val="000000"/>
                <w:szCs w:val="24"/>
              </w:rPr>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7E88263B" w14:textId="77777777" w:rsidR="003E1EA3" w:rsidRPr="003E1EA3" w:rsidRDefault="003E1EA3" w:rsidP="003E1EA3">
            <w:pPr>
              <w:jc w:val="center"/>
              <w:rPr>
                <w:rFonts w:cs="Arial"/>
                <w:b/>
                <w:bCs/>
                <w:color w:val="000000"/>
                <w:szCs w:val="24"/>
              </w:rPr>
            </w:pPr>
            <w:r w:rsidRPr="003E1EA3">
              <w:rPr>
                <w:rFonts w:cs="Arial"/>
                <w:b/>
                <w:bCs/>
                <w:color w:val="000000"/>
                <w:szCs w:val="24"/>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82F9BAC" w14:textId="77777777" w:rsidR="003E1EA3" w:rsidRPr="003E1EA3" w:rsidRDefault="003E1EA3" w:rsidP="003E1EA3">
            <w:pPr>
              <w:jc w:val="center"/>
              <w:rPr>
                <w:rFonts w:cs="Arial"/>
                <w:b/>
                <w:bCs/>
                <w:color w:val="000000"/>
                <w:szCs w:val="24"/>
              </w:rPr>
            </w:pPr>
            <w:r w:rsidRPr="003E1EA3">
              <w:rPr>
                <w:rFonts w:cs="Arial"/>
                <w:b/>
                <w:bCs/>
                <w:color w:val="000000"/>
                <w:szCs w:val="24"/>
              </w:rPr>
              <w:t> </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573E13C" w14:textId="77777777" w:rsidR="003E1EA3" w:rsidRPr="003E1EA3" w:rsidRDefault="003E1EA3" w:rsidP="003E1EA3">
            <w:pPr>
              <w:jc w:val="center"/>
              <w:rPr>
                <w:rFonts w:cs="Arial"/>
                <w:b/>
                <w:bCs/>
                <w:color w:val="000000"/>
                <w:szCs w:val="24"/>
              </w:rPr>
            </w:pPr>
            <w:r w:rsidRPr="003E1EA3">
              <w:rPr>
                <w:rFonts w:cs="Arial"/>
                <w:b/>
                <w:bCs/>
                <w:color w:val="000000"/>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994AD24" w14:textId="77777777" w:rsidR="003E1EA3" w:rsidRPr="003E1EA3" w:rsidRDefault="003E1EA3" w:rsidP="003E1EA3">
            <w:pPr>
              <w:jc w:val="center"/>
              <w:rPr>
                <w:rFonts w:cs="Arial"/>
                <w:b/>
                <w:bCs/>
                <w:color w:val="000000"/>
                <w:szCs w:val="24"/>
              </w:rPr>
            </w:pPr>
            <w:r w:rsidRPr="003E1EA3">
              <w:rPr>
                <w:rFonts w:cs="Arial"/>
                <w:b/>
                <w:bCs/>
                <w:color w:val="000000"/>
                <w:szCs w:val="24"/>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7C2F899" w14:textId="77777777" w:rsidR="003E1EA3" w:rsidRPr="003E1EA3" w:rsidRDefault="003E1EA3" w:rsidP="003E1EA3">
            <w:pPr>
              <w:jc w:val="center"/>
              <w:rPr>
                <w:rFonts w:cs="Arial"/>
                <w:b/>
                <w:bCs/>
                <w:color w:val="000000"/>
                <w:szCs w:val="24"/>
              </w:rPr>
            </w:pPr>
            <w:r w:rsidRPr="003E1EA3">
              <w:rPr>
                <w:rFonts w:cs="Arial"/>
                <w:b/>
                <w:bCs/>
                <w:color w:val="000000"/>
                <w:szCs w:val="24"/>
              </w:rPr>
              <w:t>1,291.81</w:t>
            </w:r>
          </w:p>
        </w:tc>
      </w:tr>
    </w:tbl>
    <w:p w14:paraId="6D8C7525" w14:textId="704C6852" w:rsidR="00CB6CC5" w:rsidRPr="008812B8" w:rsidRDefault="00CB6CC5" w:rsidP="008337AA">
      <w:pPr>
        <w:ind w:hanging="11"/>
        <w:jc w:val="both"/>
        <w:rPr>
          <w:rFonts w:cs="Arial"/>
          <w:highlight w:val="yellow"/>
        </w:rPr>
      </w:pPr>
    </w:p>
    <w:p w14:paraId="7943A68E" w14:textId="77777777" w:rsidR="00600C38" w:rsidRPr="00375E2D" w:rsidRDefault="00600C38" w:rsidP="00600C38">
      <w:pPr>
        <w:jc w:val="both"/>
        <w:rPr>
          <w:rFonts w:cs="Arial"/>
          <w:color w:val="000000"/>
          <w:szCs w:val="24"/>
        </w:rPr>
      </w:pPr>
      <w:r w:rsidRPr="00375E2D">
        <w:rPr>
          <w:rFonts w:cs="Arial"/>
          <w:color w:val="000000"/>
          <w:szCs w:val="24"/>
        </w:rPr>
        <w:t>The outstanding borrowing has increased by £56.90m in the period. The increase in borrowing reflects the re-financing of deals maturing in the near future in order to take advantage of current low interest rate offers from other Local Au</w:t>
      </w:r>
      <w:r>
        <w:rPr>
          <w:rFonts w:cs="Arial"/>
          <w:color w:val="000000"/>
          <w:szCs w:val="24"/>
        </w:rPr>
        <w:t>thorities and before liquidity dries up approaching the holiday period.</w:t>
      </w:r>
    </w:p>
    <w:p w14:paraId="3359823C" w14:textId="77777777" w:rsidR="00600C38" w:rsidRPr="00375E2D" w:rsidRDefault="00600C38" w:rsidP="00600C38">
      <w:pPr>
        <w:jc w:val="both"/>
        <w:rPr>
          <w:rFonts w:cs="Arial"/>
          <w:color w:val="000000"/>
          <w:szCs w:val="24"/>
        </w:rPr>
      </w:pPr>
    </w:p>
    <w:p w14:paraId="2FF07F18" w14:textId="5D3A0BAF" w:rsidR="003413AB" w:rsidRPr="00375E2D" w:rsidRDefault="00792CF2" w:rsidP="00931724">
      <w:pPr>
        <w:jc w:val="both"/>
        <w:rPr>
          <w:rFonts w:cs="Arial"/>
          <w:color w:val="000000"/>
          <w:szCs w:val="24"/>
        </w:rPr>
      </w:pPr>
      <w:r w:rsidRPr="00375E2D">
        <w:rPr>
          <w:rFonts w:cs="Arial"/>
          <w:color w:val="000000"/>
          <w:szCs w:val="24"/>
        </w:rPr>
        <w:t>T</w:t>
      </w:r>
      <w:r w:rsidR="00A721AC" w:rsidRPr="00375E2D">
        <w:rPr>
          <w:rFonts w:cs="Arial"/>
          <w:color w:val="000000"/>
          <w:szCs w:val="24"/>
        </w:rPr>
        <w:t>otal borrowing now stand</w:t>
      </w:r>
      <w:r w:rsidRPr="00375E2D">
        <w:rPr>
          <w:rFonts w:cs="Arial"/>
          <w:color w:val="000000"/>
          <w:szCs w:val="24"/>
        </w:rPr>
        <w:t>s</w:t>
      </w:r>
      <w:r w:rsidR="004F1BA8" w:rsidRPr="00375E2D">
        <w:rPr>
          <w:rFonts w:cs="Arial"/>
          <w:color w:val="000000"/>
          <w:szCs w:val="24"/>
        </w:rPr>
        <w:t xml:space="preserve"> </w:t>
      </w:r>
      <w:r w:rsidR="00A721AC" w:rsidRPr="00375E2D">
        <w:rPr>
          <w:rFonts w:cs="Arial"/>
          <w:color w:val="000000"/>
          <w:szCs w:val="24"/>
        </w:rPr>
        <w:t>at</w:t>
      </w:r>
      <w:r w:rsidR="00CA3DA4" w:rsidRPr="00375E2D">
        <w:rPr>
          <w:rFonts w:cs="Arial"/>
          <w:color w:val="000000"/>
          <w:szCs w:val="24"/>
        </w:rPr>
        <w:t xml:space="preserve"> £1.</w:t>
      </w:r>
      <w:r w:rsidR="00591364">
        <w:rPr>
          <w:rFonts w:cs="Arial"/>
          <w:color w:val="000000"/>
          <w:szCs w:val="24"/>
        </w:rPr>
        <w:t>292</w:t>
      </w:r>
      <w:r w:rsidR="00DC56D4" w:rsidRPr="00375E2D">
        <w:rPr>
          <w:rFonts w:cs="Arial"/>
          <w:color w:val="000000"/>
          <w:szCs w:val="24"/>
        </w:rPr>
        <w:t xml:space="preserve">bn </w:t>
      </w:r>
      <w:r w:rsidR="003413AB" w:rsidRPr="00375E2D">
        <w:rPr>
          <w:rFonts w:cs="Arial"/>
          <w:color w:val="000000"/>
          <w:szCs w:val="24"/>
        </w:rPr>
        <w:t>including the financing of £</w:t>
      </w:r>
      <w:r w:rsidR="00AD3E3C" w:rsidRPr="00375E2D">
        <w:rPr>
          <w:rFonts w:cs="Arial"/>
          <w:color w:val="000000"/>
          <w:szCs w:val="24"/>
        </w:rPr>
        <w:t>1</w:t>
      </w:r>
      <w:r w:rsidR="00DC56D4" w:rsidRPr="00375E2D">
        <w:rPr>
          <w:rFonts w:cs="Arial"/>
          <w:color w:val="000000"/>
          <w:szCs w:val="24"/>
        </w:rPr>
        <w:t>72</w:t>
      </w:r>
      <w:r w:rsidR="003413AB" w:rsidRPr="00375E2D">
        <w:rPr>
          <w:rFonts w:cs="Arial"/>
          <w:color w:val="000000"/>
          <w:szCs w:val="24"/>
        </w:rPr>
        <w:t xml:space="preserve">m of assets through </w:t>
      </w:r>
      <w:r w:rsidR="006468F4" w:rsidRPr="00375E2D">
        <w:rPr>
          <w:rFonts w:cs="Arial"/>
          <w:color w:val="000000"/>
          <w:szCs w:val="24"/>
        </w:rPr>
        <w:t xml:space="preserve">remaining </w:t>
      </w:r>
      <w:r w:rsidR="00722123" w:rsidRPr="00375E2D">
        <w:rPr>
          <w:rFonts w:cs="Arial"/>
          <w:color w:val="000000"/>
          <w:szCs w:val="24"/>
        </w:rPr>
        <w:t xml:space="preserve">non-waste </w:t>
      </w:r>
      <w:r w:rsidR="006468F4" w:rsidRPr="00375E2D">
        <w:rPr>
          <w:rFonts w:cs="Arial"/>
          <w:color w:val="000000"/>
          <w:szCs w:val="24"/>
        </w:rPr>
        <w:t xml:space="preserve">PFI </w:t>
      </w:r>
      <w:r w:rsidR="003413AB" w:rsidRPr="00375E2D">
        <w:rPr>
          <w:rFonts w:cs="Arial"/>
          <w:color w:val="000000"/>
          <w:szCs w:val="24"/>
        </w:rPr>
        <w:t>schemes.</w:t>
      </w:r>
      <w:r w:rsidR="004F1BA8" w:rsidRPr="00375E2D">
        <w:rPr>
          <w:rFonts w:cs="Arial"/>
          <w:color w:val="000000"/>
          <w:szCs w:val="24"/>
        </w:rPr>
        <w:t xml:space="preserve"> </w:t>
      </w:r>
    </w:p>
    <w:p w14:paraId="3848799C" w14:textId="77777777" w:rsidR="00D14083" w:rsidRDefault="00D14083" w:rsidP="00931724">
      <w:pPr>
        <w:jc w:val="both"/>
        <w:rPr>
          <w:rFonts w:cs="Arial"/>
          <w:color w:val="000000"/>
          <w:szCs w:val="24"/>
          <w:highlight w:val="yellow"/>
        </w:rPr>
      </w:pPr>
    </w:p>
    <w:p w14:paraId="3A7EFDCF" w14:textId="0A256EAB" w:rsidR="00600C38" w:rsidRPr="008812B8" w:rsidRDefault="00600C38" w:rsidP="00931724">
      <w:pPr>
        <w:jc w:val="both"/>
        <w:rPr>
          <w:rFonts w:cs="Arial"/>
          <w:color w:val="000000"/>
          <w:szCs w:val="24"/>
          <w:highlight w:val="yellow"/>
        </w:rPr>
      </w:pPr>
      <w:r w:rsidRPr="00A81847">
        <w:rPr>
          <w:rFonts w:cs="Arial"/>
        </w:rPr>
        <w:t xml:space="preserve">The majority of the </w:t>
      </w:r>
      <w:r>
        <w:rPr>
          <w:rFonts w:cs="Arial"/>
        </w:rPr>
        <w:t xml:space="preserve">maturing </w:t>
      </w:r>
      <w:r w:rsidRPr="00A81847">
        <w:rPr>
          <w:rFonts w:cs="Arial"/>
        </w:rPr>
        <w:t xml:space="preserve">borrowing for the current financial year </w:t>
      </w:r>
      <w:r>
        <w:rPr>
          <w:rFonts w:cs="Arial"/>
        </w:rPr>
        <w:t>has now been replaced with only around £20m outstanding before 31</w:t>
      </w:r>
      <w:r>
        <w:rPr>
          <w:rFonts w:cs="Arial"/>
          <w:vertAlign w:val="superscript"/>
        </w:rPr>
        <w:t xml:space="preserve">st </w:t>
      </w:r>
      <w:r>
        <w:rPr>
          <w:rFonts w:cs="Arial"/>
        </w:rPr>
        <w:t>March 2016.</w:t>
      </w:r>
    </w:p>
    <w:p w14:paraId="4F1C03C3" w14:textId="0BDB2068" w:rsidR="00007D5C" w:rsidRPr="008812B8" w:rsidRDefault="00600C38" w:rsidP="008337AA">
      <w:pPr>
        <w:jc w:val="both"/>
        <w:rPr>
          <w:rFonts w:cs="Arial"/>
          <w:highlight w:val="yellow"/>
        </w:rPr>
      </w:pPr>
      <w:r>
        <w:rPr>
          <w:rFonts w:cs="Arial"/>
          <w:noProof/>
          <w:highlight w:val="green"/>
        </w:rPr>
        <w:lastRenderedPageBreak/>
        <w:drawing>
          <wp:inline distT="0" distB="0" distL="0" distR="0" wp14:anchorId="7076E103" wp14:editId="7FA99F65">
            <wp:extent cx="5732145" cy="307207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3072079"/>
                    </a:xfrm>
                    <a:prstGeom prst="rect">
                      <a:avLst/>
                    </a:prstGeom>
                    <a:noFill/>
                  </pic:spPr>
                </pic:pic>
              </a:graphicData>
            </a:graphic>
          </wp:inline>
        </w:drawing>
      </w:r>
    </w:p>
    <w:p w14:paraId="00C924D0" w14:textId="77777777" w:rsidR="00273E89" w:rsidRPr="008812B8" w:rsidRDefault="00273E89" w:rsidP="008337AA">
      <w:pPr>
        <w:jc w:val="both"/>
        <w:rPr>
          <w:rFonts w:cs="Arial"/>
          <w:highlight w:val="yellow"/>
        </w:rPr>
      </w:pPr>
    </w:p>
    <w:p w14:paraId="353EAE6F" w14:textId="591358F5" w:rsidR="00600C38" w:rsidRDefault="00600C38" w:rsidP="009E5565">
      <w:pPr>
        <w:jc w:val="both"/>
        <w:rPr>
          <w:rFonts w:cs="Arial"/>
          <w:highlight w:val="green"/>
        </w:rPr>
      </w:pPr>
      <w:r w:rsidRPr="00600C38">
        <w:rPr>
          <w:rFonts w:cs="Arial"/>
          <w:szCs w:val="24"/>
        </w:rPr>
        <w:t xml:space="preserve">The graph </w:t>
      </w:r>
      <w:r>
        <w:rPr>
          <w:rFonts w:cs="Arial"/>
          <w:szCs w:val="24"/>
        </w:rPr>
        <w:t>above</w:t>
      </w:r>
      <w:r w:rsidRPr="00600C38">
        <w:rPr>
          <w:rFonts w:cs="Arial"/>
          <w:szCs w:val="24"/>
        </w:rPr>
        <w:t xml:space="preserve"> shows the level of debt for the current financial year compared with the prudential indicator operational and authorised boundaries. The</w:t>
      </w:r>
      <w:r w:rsidRPr="00600C38">
        <w:rPr>
          <w:rFonts w:cs="Arial"/>
        </w:rPr>
        <w:t xml:space="preserve"> debt shown from 30th November represents the debt position if no maturing debt was replaced rather than an estimate of the expected position.</w:t>
      </w:r>
    </w:p>
    <w:p w14:paraId="40B6B65C" w14:textId="77777777" w:rsidR="00600C38" w:rsidRDefault="00600C38" w:rsidP="009E5565">
      <w:pPr>
        <w:jc w:val="both"/>
        <w:rPr>
          <w:rFonts w:cs="Arial"/>
          <w:highlight w:val="green"/>
        </w:rPr>
      </w:pPr>
    </w:p>
    <w:p w14:paraId="3F95F24A" w14:textId="77777777" w:rsidR="009E5565" w:rsidRPr="00600C38" w:rsidRDefault="009E5565" w:rsidP="009E5565">
      <w:pPr>
        <w:jc w:val="both"/>
        <w:rPr>
          <w:rFonts w:cs="Arial"/>
        </w:rPr>
      </w:pPr>
      <w:r w:rsidRPr="00600C38">
        <w:rPr>
          <w:rFonts w:cs="Arial"/>
        </w:rPr>
        <w:t>The Authorised Limit is a prudent estimate of debt which reflects the Authority's capital expenditure plans and allows sufficient headroom for unusual cash movements.</w:t>
      </w:r>
    </w:p>
    <w:p w14:paraId="767CD999" w14:textId="77777777" w:rsidR="009E5565" w:rsidRPr="00600C38" w:rsidRDefault="009E5565" w:rsidP="009E5565">
      <w:pPr>
        <w:jc w:val="both"/>
        <w:rPr>
          <w:rFonts w:cs="Arial"/>
        </w:rPr>
      </w:pPr>
    </w:p>
    <w:p w14:paraId="2EB4AA49" w14:textId="77777777" w:rsidR="009E5565" w:rsidRPr="00600C38" w:rsidRDefault="009E5565" w:rsidP="009E5565">
      <w:pPr>
        <w:jc w:val="both"/>
        <w:rPr>
          <w:rFonts w:cs="Arial"/>
        </w:rPr>
      </w:pPr>
      <w:r w:rsidRPr="00600C38">
        <w:rPr>
          <w:rFonts w:cs="Arial"/>
        </w:rPr>
        <w:t>The Operational Boundary is a prudent estimate of debt but no provision for unusual cash movements. It represents the estimated maximum external debt arising as a consequence of the County Council's current plans.</w:t>
      </w:r>
    </w:p>
    <w:p w14:paraId="63F574FB" w14:textId="77777777" w:rsidR="009E5565" w:rsidRPr="00600C38" w:rsidRDefault="009E5565" w:rsidP="009E5565">
      <w:pPr>
        <w:jc w:val="both"/>
        <w:rPr>
          <w:rFonts w:cs="Arial"/>
        </w:rPr>
      </w:pPr>
    </w:p>
    <w:p w14:paraId="5A959F71" w14:textId="77777777" w:rsidR="006C25A0" w:rsidRPr="00600C38" w:rsidRDefault="00C56E65" w:rsidP="008337AA">
      <w:pPr>
        <w:pStyle w:val="ListParagraph"/>
        <w:ind w:left="0"/>
        <w:jc w:val="both"/>
        <w:rPr>
          <w:rFonts w:cs="Arial"/>
        </w:rPr>
      </w:pPr>
      <w:r w:rsidRPr="00600C38">
        <w:rPr>
          <w:rFonts w:cs="Arial"/>
          <w:szCs w:val="24"/>
        </w:rPr>
        <w:t xml:space="preserve">Total debt during the year has remained below the </w:t>
      </w:r>
      <w:r w:rsidR="009E5565" w:rsidRPr="00600C38">
        <w:rPr>
          <w:rFonts w:cs="Arial"/>
          <w:szCs w:val="24"/>
        </w:rPr>
        <w:t>Operational B</w:t>
      </w:r>
      <w:r w:rsidRPr="00600C38">
        <w:rPr>
          <w:rFonts w:cs="Arial"/>
          <w:szCs w:val="24"/>
        </w:rPr>
        <w:t>oundary.</w:t>
      </w:r>
    </w:p>
    <w:p w14:paraId="71C32668" w14:textId="181636E7" w:rsidR="003E41D6" w:rsidRDefault="00651796" w:rsidP="008337AA">
      <w:pPr>
        <w:jc w:val="both"/>
        <w:rPr>
          <w:rFonts w:cs="Arial"/>
          <w:bCs/>
          <w:szCs w:val="24"/>
        </w:rPr>
      </w:pPr>
      <w:r w:rsidRPr="00950A7F">
        <w:rPr>
          <w:rFonts w:cs="Arial"/>
          <w:color w:val="000000"/>
          <w:szCs w:val="24"/>
        </w:rPr>
        <w:t xml:space="preserve">The current interest rate payable on debt measured by </w:t>
      </w:r>
      <w:proofErr w:type="spellStart"/>
      <w:r w:rsidRPr="00950A7F">
        <w:rPr>
          <w:rFonts w:cs="Arial"/>
          <w:color w:val="000000"/>
          <w:szCs w:val="24"/>
        </w:rPr>
        <w:t>Arlingclose</w:t>
      </w:r>
      <w:proofErr w:type="spellEnd"/>
      <w:r w:rsidRPr="00950A7F">
        <w:rPr>
          <w:rFonts w:cs="Arial"/>
          <w:color w:val="000000"/>
          <w:szCs w:val="24"/>
        </w:rPr>
        <w:t xml:space="preserve"> Ltd treasury consultants is </w:t>
      </w:r>
      <w:r w:rsidR="00950A7F" w:rsidRPr="00950A7F">
        <w:rPr>
          <w:rFonts w:cs="Arial"/>
          <w:color w:val="000000"/>
          <w:szCs w:val="24"/>
        </w:rPr>
        <w:t>1.649</w:t>
      </w:r>
      <w:r w:rsidR="006B2962" w:rsidRPr="00950A7F">
        <w:rPr>
          <w:rFonts w:cs="Arial"/>
          <w:color w:val="000000"/>
          <w:szCs w:val="24"/>
        </w:rPr>
        <w:t>%</w:t>
      </w:r>
      <w:r w:rsidR="007433DB" w:rsidRPr="00950A7F">
        <w:rPr>
          <w:rFonts w:cs="Arial"/>
          <w:color w:val="000000"/>
          <w:szCs w:val="24"/>
        </w:rPr>
        <w:t xml:space="preserve">. </w:t>
      </w:r>
      <w:r w:rsidR="0057045E" w:rsidRPr="00950A7F">
        <w:rPr>
          <w:rFonts w:cs="Arial"/>
          <w:color w:val="000000"/>
          <w:szCs w:val="24"/>
        </w:rPr>
        <w:t xml:space="preserve">The most recent benchmarking figure available </w:t>
      </w:r>
      <w:r w:rsidR="00693087" w:rsidRPr="00950A7F">
        <w:rPr>
          <w:rFonts w:cs="Arial"/>
          <w:color w:val="000000"/>
          <w:szCs w:val="24"/>
        </w:rPr>
        <w:t>of the</w:t>
      </w:r>
      <w:r w:rsidR="001128CC" w:rsidRPr="00950A7F">
        <w:rPr>
          <w:rFonts w:cs="Arial"/>
          <w:color w:val="000000"/>
          <w:szCs w:val="24"/>
        </w:rPr>
        <w:t xml:space="preserve"> average rate for all </w:t>
      </w:r>
      <w:proofErr w:type="spellStart"/>
      <w:r w:rsidR="007433DB" w:rsidRPr="00950A7F">
        <w:rPr>
          <w:rFonts w:cs="Arial"/>
          <w:color w:val="000000"/>
          <w:szCs w:val="24"/>
        </w:rPr>
        <w:t>Arlingclose</w:t>
      </w:r>
      <w:proofErr w:type="spellEnd"/>
      <w:r w:rsidR="007433DB" w:rsidRPr="00950A7F">
        <w:rPr>
          <w:rFonts w:cs="Arial"/>
          <w:color w:val="000000"/>
          <w:szCs w:val="24"/>
        </w:rPr>
        <w:t xml:space="preserve"> clients </w:t>
      </w:r>
      <w:r w:rsidR="00693087" w:rsidRPr="00950A7F">
        <w:rPr>
          <w:rFonts w:cs="Arial"/>
          <w:color w:val="000000"/>
          <w:szCs w:val="24"/>
        </w:rPr>
        <w:t xml:space="preserve">(as </w:t>
      </w:r>
      <w:r w:rsidR="0057045E" w:rsidRPr="00950A7F">
        <w:rPr>
          <w:rFonts w:cs="Arial"/>
          <w:color w:val="000000"/>
          <w:szCs w:val="24"/>
        </w:rPr>
        <w:t>measured on 31</w:t>
      </w:r>
      <w:r w:rsidR="009E5565" w:rsidRPr="00950A7F">
        <w:rPr>
          <w:rFonts w:cs="Arial"/>
          <w:color w:val="000000"/>
          <w:szCs w:val="24"/>
          <w:vertAlign w:val="superscript"/>
        </w:rPr>
        <w:t>st</w:t>
      </w:r>
      <w:r w:rsidR="009E5565" w:rsidRPr="00950A7F">
        <w:rPr>
          <w:rFonts w:cs="Arial"/>
          <w:color w:val="000000"/>
          <w:szCs w:val="24"/>
        </w:rPr>
        <w:t xml:space="preserve"> </w:t>
      </w:r>
      <w:r w:rsidR="0057045E" w:rsidRPr="00950A7F">
        <w:rPr>
          <w:rFonts w:cs="Arial"/>
          <w:color w:val="000000"/>
          <w:szCs w:val="24"/>
        </w:rPr>
        <w:t>March 201</w:t>
      </w:r>
      <w:r w:rsidR="00693087" w:rsidRPr="00950A7F">
        <w:rPr>
          <w:rFonts w:cs="Arial"/>
          <w:color w:val="000000"/>
          <w:szCs w:val="24"/>
        </w:rPr>
        <w:t>5) is</w:t>
      </w:r>
      <w:r w:rsidR="001128CC" w:rsidRPr="00950A7F">
        <w:rPr>
          <w:rFonts w:cs="Arial"/>
          <w:color w:val="000000"/>
          <w:szCs w:val="24"/>
        </w:rPr>
        <w:t xml:space="preserve"> </w:t>
      </w:r>
      <w:r w:rsidR="007433DB" w:rsidRPr="00950A7F">
        <w:rPr>
          <w:rFonts w:cs="Arial"/>
          <w:color w:val="000000"/>
          <w:szCs w:val="24"/>
        </w:rPr>
        <w:t>4.1</w:t>
      </w:r>
      <w:r w:rsidR="00C110EE" w:rsidRPr="00950A7F">
        <w:rPr>
          <w:rFonts w:cs="Arial"/>
          <w:color w:val="000000"/>
          <w:szCs w:val="24"/>
        </w:rPr>
        <w:t>3</w:t>
      </w:r>
      <w:r w:rsidR="001128CC" w:rsidRPr="00950A7F">
        <w:rPr>
          <w:rFonts w:cs="Arial"/>
          <w:color w:val="000000"/>
          <w:szCs w:val="24"/>
        </w:rPr>
        <w:t>%.</w:t>
      </w:r>
    </w:p>
    <w:p w14:paraId="1A731A23" w14:textId="77777777" w:rsidR="006C293A" w:rsidRPr="008812B8" w:rsidRDefault="006C293A" w:rsidP="008337AA">
      <w:pPr>
        <w:jc w:val="both"/>
        <w:rPr>
          <w:rFonts w:cs="Arial"/>
          <w:b/>
          <w:highlight w:val="yellow"/>
        </w:rPr>
      </w:pPr>
    </w:p>
    <w:p w14:paraId="4CBE6EAE" w14:textId="77777777" w:rsidR="006C293A" w:rsidRPr="00375E2D" w:rsidRDefault="006C293A" w:rsidP="006C293A">
      <w:pPr>
        <w:rPr>
          <w:b/>
        </w:rPr>
      </w:pPr>
      <w:r w:rsidRPr="00375E2D">
        <w:rPr>
          <w:b/>
        </w:rPr>
        <w:t>4. B</w:t>
      </w:r>
      <w:r w:rsidR="006C1AAD" w:rsidRPr="00375E2D">
        <w:rPr>
          <w:b/>
        </w:rPr>
        <w:t>udget Monitoring Position</w:t>
      </w:r>
    </w:p>
    <w:p w14:paraId="40A8EB5E" w14:textId="77777777" w:rsidR="006C1AAD" w:rsidRPr="00375E2D" w:rsidRDefault="005D1E01" w:rsidP="006C293A">
      <w:r w:rsidRPr="00375E2D">
        <w:rPr>
          <w:b/>
        </w:rPr>
        <w:t xml:space="preserve"> </w:t>
      </w:r>
    </w:p>
    <w:p w14:paraId="2B5A4D0A" w14:textId="51808802" w:rsidR="0098781D" w:rsidRPr="00375E2D" w:rsidRDefault="00007D5C" w:rsidP="008337AA">
      <w:pPr>
        <w:jc w:val="both"/>
        <w:rPr>
          <w:rFonts w:cs="Arial"/>
        </w:rPr>
      </w:pPr>
      <w:r w:rsidRPr="00375E2D">
        <w:rPr>
          <w:rFonts w:cs="Arial"/>
        </w:rPr>
        <w:t>T</w:t>
      </w:r>
      <w:r w:rsidR="00D14083" w:rsidRPr="00375E2D">
        <w:rPr>
          <w:rFonts w:cs="Arial"/>
        </w:rPr>
        <w:t>he</w:t>
      </w:r>
      <w:r w:rsidR="0098781D" w:rsidRPr="00375E2D">
        <w:rPr>
          <w:rFonts w:cs="Arial"/>
        </w:rPr>
        <w:t xml:space="preserve"> net</w:t>
      </w:r>
      <w:r w:rsidR="00D14083" w:rsidRPr="00375E2D">
        <w:rPr>
          <w:rFonts w:cs="Arial"/>
        </w:rPr>
        <w:t xml:space="preserve"> financing charges budget</w:t>
      </w:r>
      <w:r w:rsidR="002F2DA2" w:rsidRPr="00375E2D">
        <w:rPr>
          <w:rFonts w:cs="Arial"/>
        </w:rPr>
        <w:t xml:space="preserve"> for 2015/16</w:t>
      </w:r>
      <w:r w:rsidR="00D14083" w:rsidRPr="00375E2D">
        <w:rPr>
          <w:rFonts w:cs="Arial"/>
        </w:rPr>
        <w:t xml:space="preserve"> </w:t>
      </w:r>
      <w:r w:rsidR="00906E7A" w:rsidRPr="00375E2D">
        <w:rPr>
          <w:rFonts w:cs="Arial"/>
        </w:rPr>
        <w:t xml:space="preserve">is forecasted to </w:t>
      </w:r>
      <w:r w:rsidR="00FF2B3B" w:rsidRPr="00375E2D">
        <w:rPr>
          <w:rFonts w:cs="Arial"/>
        </w:rPr>
        <w:t>be £</w:t>
      </w:r>
      <w:r w:rsidR="00542C00" w:rsidRPr="00E477BD">
        <w:rPr>
          <w:rFonts w:cs="Arial"/>
        </w:rPr>
        <w:t>12</w:t>
      </w:r>
      <w:r w:rsidR="00597625" w:rsidRPr="00E477BD">
        <w:rPr>
          <w:rFonts w:cs="Arial"/>
        </w:rPr>
        <w:t>m</w:t>
      </w:r>
      <w:r w:rsidR="00597625" w:rsidRPr="00375E2D">
        <w:rPr>
          <w:rFonts w:cs="Arial"/>
        </w:rPr>
        <w:t xml:space="preserve"> </w:t>
      </w:r>
      <w:r w:rsidR="0098781D" w:rsidRPr="00375E2D">
        <w:rPr>
          <w:rFonts w:cs="Arial"/>
        </w:rPr>
        <w:t xml:space="preserve">lower </w:t>
      </w:r>
      <w:r w:rsidR="006C293A" w:rsidRPr="00375E2D">
        <w:rPr>
          <w:rFonts w:cs="Arial"/>
        </w:rPr>
        <w:t>than</w:t>
      </w:r>
      <w:r w:rsidR="00D14083" w:rsidRPr="00375E2D">
        <w:rPr>
          <w:rFonts w:cs="Arial"/>
        </w:rPr>
        <w:t xml:space="preserve"> budget at the end of the financial year.</w:t>
      </w:r>
      <w:r w:rsidR="0098781D" w:rsidRPr="00375E2D">
        <w:rPr>
          <w:rFonts w:cs="Arial"/>
        </w:rPr>
        <w:t xml:space="preserve"> The reasons for this are:</w:t>
      </w:r>
    </w:p>
    <w:p w14:paraId="424A54F2" w14:textId="77777777" w:rsidR="0098781D" w:rsidRPr="008812B8" w:rsidRDefault="0098781D" w:rsidP="008337AA">
      <w:pPr>
        <w:jc w:val="both"/>
        <w:rPr>
          <w:rFonts w:cs="Arial"/>
          <w:highlight w:val="yellow"/>
        </w:rPr>
      </w:pPr>
    </w:p>
    <w:p w14:paraId="38A9995D" w14:textId="0F8045E4" w:rsidR="0098781D" w:rsidRDefault="0098781D" w:rsidP="008337AA">
      <w:pPr>
        <w:numPr>
          <w:ilvl w:val="0"/>
          <w:numId w:val="24"/>
        </w:numPr>
        <w:tabs>
          <w:tab w:val="left" w:pos="851"/>
          <w:tab w:val="left" w:pos="1418"/>
        </w:tabs>
        <w:autoSpaceDE w:val="0"/>
        <w:autoSpaceDN w:val="0"/>
        <w:adjustRightInd w:val="0"/>
        <w:spacing w:after="120"/>
        <w:ind w:left="851" w:hanging="851"/>
        <w:contextualSpacing/>
        <w:jc w:val="both"/>
        <w:rPr>
          <w:rFonts w:eastAsia="Calibri" w:cs="Arial"/>
          <w:color w:val="000000"/>
          <w:szCs w:val="24"/>
          <w:lang w:eastAsia="en-US"/>
        </w:rPr>
      </w:pPr>
      <w:r w:rsidRPr="00375E2D">
        <w:rPr>
          <w:rFonts w:eastAsia="Calibri" w:cs="Arial"/>
          <w:color w:val="000000"/>
          <w:szCs w:val="24"/>
          <w:lang w:eastAsia="en-US"/>
        </w:rPr>
        <w:t xml:space="preserve">The refinancing of the waste recycling centres was initially anticipated to be repaid on a straight line basis.  However, the decision has been taken to make the repayment on an annuity basis.  This has resulted in a reduced </w:t>
      </w:r>
      <w:r w:rsidR="00A73F13" w:rsidRPr="00375E2D">
        <w:rPr>
          <w:rFonts w:eastAsia="Calibri" w:cs="Arial"/>
          <w:color w:val="000000"/>
          <w:szCs w:val="24"/>
          <w:lang w:eastAsia="en-US"/>
        </w:rPr>
        <w:t>Minimum Revenue Provision (</w:t>
      </w:r>
      <w:r w:rsidRPr="00375E2D">
        <w:rPr>
          <w:rFonts w:eastAsia="Calibri" w:cs="Arial"/>
          <w:color w:val="000000"/>
          <w:szCs w:val="24"/>
          <w:lang w:eastAsia="en-US"/>
        </w:rPr>
        <w:t>MRP</w:t>
      </w:r>
      <w:r w:rsidR="00A73F13" w:rsidRPr="00375E2D">
        <w:rPr>
          <w:rFonts w:eastAsia="Calibri" w:cs="Arial"/>
          <w:color w:val="000000"/>
          <w:szCs w:val="24"/>
          <w:lang w:eastAsia="en-US"/>
        </w:rPr>
        <w:t>)</w:t>
      </w:r>
      <w:r w:rsidR="001C13C7" w:rsidRPr="00375E2D">
        <w:rPr>
          <w:rFonts w:eastAsia="Calibri" w:cs="Arial"/>
          <w:color w:val="000000"/>
          <w:szCs w:val="24"/>
          <w:lang w:eastAsia="en-US"/>
        </w:rPr>
        <w:t xml:space="preserve"> of some £5.6m. </w:t>
      </w:r>
      <w:r w:rsidRPr="00375E2D">
        <w:rPr>
          <w:rFonts w:eastAsia="Calibri" w:cs="Arial"/>
          <w:color w:val="000000"/>
          <w:szCs w:val="24"/>
          <w:lang w:eastAsia="en-US"/>
        </w:rPr>
        <w:t xml:space="preserve">It is estimated to be a similar amount for the next two years.  </w:t>
      </w:r>
    </w:p>
    <w:p w14:paraId="00AAAA24" w14:textId="77777777" w:rsidR="00E477BD" w:rsidRDefault="00E477BD" w:rsidP="00E477BD">
      <w:pPr>
        <w:tabs>
          <w:tab w:val="left" w:pos="851"/>
          <w:tab w:val="left" w:pos="1418"/>
        </w:tabs>
        <w:autoSpaceDE w:val="0"/>
        <w:autoSpaceDN w:val="0"/>
        <w:adjustRightInd w:val="0"/>
        <w:spacing w:after="120"/>
        <w:ind w:left="851"/>
        <w:contextualSpacing/>
        <w:jc w:val="both"/>
        <w:rPr>
          <w:rFonts w:eastAsia="Calibri" w:cs="Arial"/>
          <w:color w:val="000000"/>
          <w:szCs w:val="24"/>
          <w:lang w:eastAsia="en-US"/>
        </w:rPr>
      </w:pPr>
    </w:p>
    <w:p w14:paraId="5D6D4945" w14:textId="77777777" w:rsidR="0098781D" w:rsidRDefault="0098781D" w:rsidP="008337AA">
      <w:pPr>
        <w:numPr>
          <w:ilvl w:val="0"/>
          <w:numId w:val="24"/>
        </w:numPr>
        <w:tabs>
          <w:tab w:val="left" w:pos="851"/>
          <w:tab w:val="left" w:pos="1418"/>
        </w:tabs>
        <w:autoSpaceDE w:val="0"/>
        <w:autoSpaceDN w:val="0"/>
        <w:adjustRightInd w:val="0"/>
        <w:spacing w:after="120"/>
        <w:ind w:left="851" w:hanging="851"/>
        <w:contextualSpacing/>
        <w:jc w:val="both"/>
        <w:rPr>
          <w:rFonts w:eastAsia="Calibri" w:cs="Arial"/>
          <w:color w:val="000000"/>
          <w:szCs w:val="24"/>
          <w:lang w:eastAsia="en-US"/>
        </w:rPr>
      </w:pPr>
      <w:r w:rsidRPr="00375E2D">
        <w:rPr>
          <w:rFonts w:eastAsia="Calibri" w:cs="Arial"/>
          <w:color w:val="000000"/>
          <w:szCs w:val="24"/>
          <w:lang w:eastAsia="en-US"/>
        </w:rPr>
        <w:t xml:space="preserve">When calculating the estimated MRP it was planned to apply up to £39m of borrowing in 2014/15.  Due to the re-phasing of the Capital Programme this borrowing was not required thereby reducing requirement to charge the MRP in 2015/16.  </w:t>
      </w:r>
    </w:p>
    <w:p w14:paraId="2B4C0838" w14:textId="77777777" w:rsidR="00D6796A" w:rsidRPr="00375E2D" w:rsidRDefault="00D6796A" w:rsidP="00D6796A">
      <w:pPr>
        <w:tabs>
          <w:tab w:val="left" w:pos="851"/>
          <w:tab w:val="left" w:pos="1418"/>
        </w:tabs>
        <w:autoSpaceDE w:val="0"/>
        <w:autoSpaceDN w:val="0"/>
        <w:adjustRightInd w:val="0"/>
        <w:spacing w:after="120"/>
        <w:ind w:left="851"/>
        <w:contextualSpacing/>
        <w:jc w:val="both"/>
        <w:rPr>
          <w:rFonts w:eastAsia="Calibri" w:cs="Arial"/>
          <w:color w:val="000000"/>
          <w:szCs w:val="24"/>
          <w:lang w:eastAsia="en-US"/>
        </w:rPr>
      </w:pPr>
    </w:p>
    <w:p w14:paraId="44A0B6A8" w14:textId="0A27DC61" w:rsidR="0098781D" w:rsidRPr="00D6796A" w:rsidRDefault="0098781D" w:rsidP="008337AA">
      <w:pPr>
        <w:numPr>
          <w:ilvl w:val="0"/>
          <w:numId w:val="24"/>
        </w:numPr>
        <w:tabs>
          <w:tab w:val="left" w:pos="851"/>
          <w:tab w:val="left" w:pos="1418"/>
        </w:tabs>
        <w:autoSpaceDE w:val="0"/>
        <w:autoSpaceDN w:val="0"/>
        <w:adjustRightInd w:val="0"/>
        <w:spacing w:after="120"/>
        <w:ind w:left="851" w:hanging="851"/>
        <w:contextualSpacing/>
        <w:jc w:val="both"/>
        <w:rPr>
          <w:rFonts w:eastAsia="Calibri" w:cs="Arial"/>
          <w:color w:val="000000"/>
          <w:szCs w:val="24"/>
          <w:lang w:eastAsia="en-US"/>
        </w:rPr>
      </w:pPr>
      <w:r w:rsidRPr="00D6796A">
        <w:rPr>
          <w:rFonts w:eastAsia="Calibri" w:cs="Arial"/>
          <w:color w:val="000000"/>
          <w:szCs w:val="24"/>
          <w:lang w:eastAsia="en-US"/>
        </w:rPr>
        <w:t>Higher than budgeted</w:t>
      </w:r>
      <w:r w:rsidR="00542C00">
        <w:rPr>
          <w:rFonts w:eastAsia="Calibri" w:cs="Arial"/>
          <w:color w:val="000000"/>
          <w:szCs w:val="24"/>
          <w:lang w:eastAsia="en-US"/>
        </w:rPr>
        <w:t xml:space="preserve"> interest received of £8.038</w:t>
      </w:r>
      <w:r w:rsidR="00D6796A" w:rsidRPr="00D6796A">
        <w:rPr>
          <w:rFonts w:eastAsia="Calibri" w:cs="Arial"/>
          <w:color w:val="000000"/>
          <w:szCs w:val="24"/>
          <w:lang w:eastAsia="en-US"/>
        </w:rPr>
        <w:t>m</w:t>
      </w:r>
      <w:r w:rsidRPr="00D6796A">
        <w:rPr>
          <w:rFonts w:eastAsia="Calibri" w:cs="Arial"/>
          <w:color w:val="000000"/>
          <w:szCs w:val="24"/>
          <w:lang w:eastAsia="en-US"/>
        </w:rPr>
        <w:t xml:space="preserve"> is primarily due to the increased value of the </w:t>
      </w:r>
      <w:r w:rsidR="00693087" w:rsidRPr="00D6796A">
        <w:rPr>
          <w:rFonts w:eastAsia="Calibri" w:cs="Arial"/>
          <w:color w:val="000000"/>
          <w:szCs w:val="24"/>
          <w:lang w:eastAsia="en-US"/>
        </w:rPr>
        <w:t>C</w:t>
      </w:r>
      <w:r w:rsidRPr="00D6796A">
        <w:rPr>
          <w:rFonts w:eastAsia="Calibri" w:cs="Arial"/>
          <w:color w:val="000000"/>
          <w:szCs w:val="24"/>
          <w:lang w:eastAsia="en-US"/>
        </w:rPr>
        <w:t xml:space="preserve">ounty </w:t>
      </w:r>
      <w:r w:rsidR="00693087" w:rsidRPr="00D6796A">
        <w:rPr>
          <w:rFonts w:eastAsia="Calibri" w:cs="Arial"/>
          <w:color w:val="000000"/>
          <w:szCs w:val="24"/>
          <w:lang w:eastAsia="en-US"/>
        </w:rPr>
        <w:t>C</w:t>
      </w:r>
      <w:r w:rsidRPr="00D6796A">
        <w:rPr>
          <w:rFonts w:eastAsia="Calibri" w:cs="Arial"/>
          <w:color w:val="000000"/>
          <w:szCs w:val="24"/>
          <w:lang w:eastAsia="en-US"/>
        </w:rPr>
        <w:t xml:space="preserve">ouncil's low risk investment portfolios </w:t>
      </w:r>
      <w:r w:rsidR="00693087" w:rsidRPr="00D6796A">
        <w:rPr>
          <w:rFonts w:eastAsia="Calibri" w:cs="Arial"/>
          <w:color w:val="000000"/>
          <w:szCs w:val="24"/>
          <w:lang w:eastAsia="en-US"/>
        </w:rPr>
        <w:t xml:space="preserve">following </w:t>
      </w:r>
      <w:r w:rsidRPr="00D6796A">
        <w:rPr>
          <w:rFonts w:eastAsia="Calibri" w:cs="Arial"/>
          <w:color w:val="000000"/>
          <w:szCs w:val="24"/>
          <w:lang w:eastAsia="en-US"/>
        </w:rPr>
        <w:t>market movements during recent months.  This enabled some core G</w:t>
      </w:r>
      <w:r w:rsidR="006468F4" w:rsidRPr="00D6796A">
        <w:rPr>
          <w:rFonts w:eastAsia="Calibri" w:cs="Arial"/>
          <w:color w:val="000000"/>
          <w:szCs w:val="24"/>
          <w:lang w:eastAsia="en-US"/>
        </w:rPr>
        <w:t>ilt</w:t>
      </w:r>
      <w:r w:rsidRPr="00D6796A">
        <w:rPr>
          <w:rFonts w:eastAsia="Calibri" w:cs="Arial"/>
          <w:color w:val="000000"/>
          <w:szCs w:val="24"/>
          <w:lang w:eastAsia="en-US"/>
        </w:rPr>
        <w:t xml:space="preserve"> bonds to be sold </w:t>
      </w:r>
      <w:r w:rsidR="00D6796A" w:rsidRPr="00D6796A">
        <w:rPr>
          <w:rFonts w:eastAsia="Calibri" w:cs="Arial"/>
          <w:color w:val="000000"/>
          <w:szCs w:val="24"/>
          <w:lang w:eastAsia="en-US"/>
        </w:rPr>
        <w:t>resulting in a net gain of £2.960</w:t>
      </w:r>
      <w:r w:rsidRPr="00D6796A">
        <w:rPr>
          <w:rFonts w:eastAsia="Calibri" w:cs="Arial"/>
          <w:color w:val="000000"/>
          <w:szCs w:val="24"/>
          <w:lang w:eastAsia="en-US"/>
        </w:rPr>
        <w:t>m.</w:t>
      </w:r>
      <w:r w:rsidR="00D6796A" w:rsidRPr="00D6796A">
        <w:rPr>
          <w:rFonts w:eastAsia="Calibri" w:cs="Arial"/>
          <w:color w:val="000000"/>
          <w:szCs w:val="24"/>
          <w:lang w:eastAsia="en-US"/>
        </w:rPr>
        <w:t xml:space="preserve"> There have als</w:t>
      </w:r>
      <w:r w:rsidR="00542C00">
        <w:rPr>
          <w:rFonts w:eastAsia="Calibri" w:cs="Arial"/>
          <w:color w:val="000000"/>
          <w:szCs w:val="24"/>
          <w:lang w:eastAsia="en-US"/>
        </w:rPr>
        <w:t>o been additional gains of £5.07</w:t>
      </w:r>
      <w:r w:rsidR="00D6796A" w:rsidRPr="00D6796A">
        <w:rPr>
          <w:rFonts w:eastAsia="Calibri" w:cs="Arial"/>
          <w:color w:val="000000"/>
          <w:szCs w:val="24"/>
          <w:lang w:eastAsia="en-US"/>
        </w:rPr>
        <w:t>8m resulting from sales of traded bonds again due to the volatility of the market.</w:t>
      </w:r>
    </w:p>
    <w:p w14:paraId="46DC1D0D" w14:textId="77777777" w:rsidR="00D6796A" w:rsidRPr="00375E2D" w:rsidRDefault="00D6796A" w:rsidP="00D6796A">
      <w:pPr>
        <w:tabs>
          <w:tab w:val="left" w:pos="851"/>
          <w:tab w:val="left" w:pos="1418"/>
        </w:tabs>
        <w:autoSpaceDE w:val="0"/>
        <w:autoSpaceDN w:val="0"/>
        <w:adjustRightInd w:val="0"/>
        <w:spacing w:after="120"/>
        <w:ind w:left="851"/>
        <w:contextualSpacing/>
        <w:jc w:val="both"/>
        <w:rPr>
          <w:rFonts w:eastAsia="Calibri" w:cs="Arial"/>
          <w:color w:val="000000"/>
          <w:szCs w:val="24"/>
          <w:lang w:eastAsia="en-US"/>
        </w:rPr>
      </w:pPr>
    </w:p>
    <w:p w14:paraId="648C15A8" w14:textId="7616A4BD" w:rsidR="0098781D" w:rsidRPr="00375E2D" w:rsidRDefault="0098781D" w:rsidP="000331F9">
      <w:pPr>
        <w:numPr>
          <w:ilvl w:val="0"/>
          <w:numId w:val="24"/>
        </w:numPr>
        <w:tabs>
          <w:tab w:val="left" w:pos="851"/>
          <w:tab w:val="left" w:pos="1418"/>
        </w:tabs>
        <w:autoSpaceDE w:val="0"/>
        <w:autoSpaceDN w:val="0"/>
        <w:adjustRightInd w:val="0"/>
        <w:spacing w:after="120"/>
        <w:ind w:left="851" w:hanging="851"/>
        <w:contextualSpacing/>
        <w:jc w:val="both"/>
        <w:rPr>
          <w:rFonts w:cs="Arial"/>
        </w:rPr>
      </w:pPr>
      <w:r w:rsidRPr="00375E2D">
        <w:rPr>
          <w:rFonts w:eastAsia="Calibri" w:cs="Arial"/>
          <w:color w:val="000000"/>
          <w:szCs w:val="24"/>
          <w:lang w:eastAsia="en-US"/>
        </w:rPr>
        <w:t xml:space="preserve">The saving on the MRP and higher than budgeted income received are offset by the agreed contribution towards the </w:t>
      </w:r>
      <w:proofErr w:type="spellStart"/>
      <w:r w:rsidRPr="00375E2D">
        <w:rPr>
          <w:rFonts w:eastAsia="Calibri" w:cs="Arial"/>
          <w:color w:val="000000"/>
          <w:szCs w:val="24"/>
          <w:lang w:eastAsia="en-US"/>
        </w:rPr>
        <w:t>Todmorden</w:t>
      </w:r>
      <w:proofErr w:type="spellEnd"/>
      <w:r w:rsidR="006C293A" w:rsidRPr="00375E2D">
        <w:rPr>
          <w:rFonts w:eastAsia="Calibri" w:cs="Arial"/>
          <w:color w:val="000000"/>
          <w:szCs w:val="24"/>
          <w:lang w:eastAsia="en-US"/>
        </w:rPr>
        <w:t xml:space="preserve"> </w:t>
      </w:r>
      <w:r w:rsidRPr="00375E2D">
        <w:rPr>
          <w:rFonts w:eastAsia="Calibri" w:cs="Arial"/>
          <w:color w:val="000000"/>
          <w:szCs w:val="24"/>
          <w:lang w:eastAsia="en-US"/>
        </w:rPr>
        <w:t>Curve Rail project</w:t>
      </w:r>
      <w:r w:rsidR="00693087" w:rsidRPr="00375E2D">
        <w:rPr>
          <w:rFonts w:eastAsia="Calibri" w:cs="Arial"/>
          <w:color w:val="000000"/>
          <w:szCs w:val="24"/>
          <w:lang w:eastAsia="en-US"/>
        </w:rPr>
        <w:t xml:space="preserve"> of</w:t>
      </w:r>
      <w:r w:rsidR="00375E2D" w:rsidRPr="00375E2D">
        <w:rPr>
          <w:rFonts w:eastAsia="Calibri" w:cs="Arial"/>
          <w:color w:val="000000"/>
          <w:szCs w:val="24"/>
          <w:lang w:eastAsia="en-US"/>
        </w:rPr>
        <w:t xml:space="preserve"> £2.3</w:t>
      </w:r>
      <w:r w:rsidRPr="00375E2D">
        <w:rPr>
          <w:rFonts w:eastAsia="Calibri" w:cs="Arial"/>
          <w:color w:val="000000"/>
          <w:szCs w:val="24"/>
          <w:lang w:eastAsia="en-US"/>
        </w:rPr>
        <w:t>00m which was not in the original budget.</w:t>
      </w:r>
    </w:p>
    <w:p w14:paraId="6D27CAEF" w14:textId="77777777" w:rsidR="000331F9" w:rsidRPr="008812B8" w:rsidRDefault="000331F9" w:rsidP="008337AA">
      <w:pPr>
        <w:jc w:val="both"/>
        <w:rPr>
          <w:rFonts w:cs="Arial"/>
          <w:highlight w:val="yellow"/>
        </w:rPr>
      </w:pPr>
    </w:p>
    <w:p w14:paraId="2AA12B29" w14:textId="77777777" w:rsidR="002F0B22" w:rsidRDefault="00D14083" w:rsidP="008337AA">
      <w:pPr>
        <w:jc w:val="both"/>
        <w:rPr>
          <w:rFonts w:cs="Arial"/>
          <w:szCs w:val="24"/>
        </w:rPr>
      </w:pPr>
      <w:r w:rsidRPr="00375E2D">
        <w:rPr>
          <w:rFonts w:cs="Arial"/>
          <w:szCs w:val="24"/>
        </w:rPr>
        <w:t>This position is kept under regular review taking account both of</w:t>
      </w:r>
      <w:r w:rsidR="00A91E53" w:rsidRPr="00375E2D">
        <w:rPr>
          <w:rFonts w:cs="Arial"/>
          <w:szCs w:val="24"/>
        </w:rPr>
        <w:t xml:space="preserve"> </w:t>
      </w:r>
      <w:r w:rsidRPr="00375E2D">
        <w:rPr>
          <w:rFonts w:cs="Arial"/>
          <w:szCs w:val="24"/>
        </w:rPr>
        <w:t>ongoing</w:t>
      </w:r>
      <w:r w:rsidR="00A91E53" w:rsidRPr="00375E2D">
        <w:rPr>
          <w:rFonts w:cs="Arial"/>
          <w:szCs w:val="24"/>
        </w:rPr>
        <w:t xml:space="preserve"> </w:t>
      </w:r>
      <w:r w:rsidRPr="00375E2D">
        <w:rPr>
          <w:rFonts w:cs="Arial"/>
          <w:szCs w:val="24"/>
        </w:rPr>
        <w:t xml:space="preserve">performance and also market movements and the forecast is provided to the </w:t>
      </w:r>
      <w:r w:rsidR="006C293A" w:rsidRPr="00375E2D">
        <w:rPr>
          <w:rFonts w:cs="Arial"/>
          <w:szCs w:val="24"/>
        </w:rPr>
        <w:t>Interim Director of Financial Resources</w:t>
      </w:r>
      <w:r w:rsidRPr="00375E2D">
        <w:rPr>
          <w:rFonts w:cs="Arial"/>
          <w:szCs w:val="24"/>
        </w:rPr>
        <w:t xml:space="preserve"> on a monthly basis.</w:t>
      </w:r>
    </w:p>
    <w:p w14:paraId="040192F3" w14:textId="77777777" w:rsidR="00094ADE" w:rsidRPr="008812B8" w:rsidRDefault="00094ADE">
      <w:pPr>
        <w:rPr>
          <w:rFonts w:cs="Arial"/>
          <w:b/>
          <w:szCs w:val="24"/>
          <w:highlight w:val="yellow"/>
          <w:lang w:eastAsia="en-US"/>
        </w:rPr>
      </w:pPr>
    </w:p>
    <w:p w14:paraId="4B6F1997" w14:textId="77777777" w:rsidR="00C0388E" w:rsidRPr="00D6796A" w:rsidRDefault="006C293A" w:rsidP="006C293A">
      <w:pPr>
        <w:pStyle w:val="ListParagraph"/>
        <w:ind w:left="0"/>
        <w:jc w:val="both"/>
        <w:rPr>
          <w:rFonts w:cs="Arial"/>
          <w:color w:val="000000"/>
          <w:szCs w:val="24"/>
        </w:rPr>
      </w:pPr>
      <w:r w:rsidRPr="00D6796A">
        <w:rPr>
          <w:rFonts w:cs="Arial"/>
          <w:b/>
          <w:szCs w:val="24"/>
        </w:rPr>
        <w:t xml:space="preserve">5. </w:t>
      </w:r>
      <w:r w:rsidR="009071F8" w:rsidRPr="00D6796A">
        <w:rPr>
          <w:rFonts w:cs="Arial"/>
          <w:b/>
          <w:szCs w:val="24"/>
        </w:rPr>
        <w:t>Prudential Indicators 201</w:t>
      </w:r>
      <w:r w:rsidR="004F42AD" w:rsidRPr="00D6796A">
        <w:rPr>
          <w:rFonts w:cs="Arial"/>
          <w:b/>
          <w:szCs w:val="24"/>
        </w:rPr>
        <w:t>5/16</w:t>
      </w:r>
    </w:p>
    <w:p w14:paraId="0035A13B" w14:textId="77777777" w:rsidR="009071F8" w:rsidRPr="00D6796A" w:rsidRDefault="009071F8" w:rsidP="00267737">
      <w:pPr>
        <w:jc w:val="both"/>
        <w:rPr>
          <w:rFonts w:cs="Arial"/>
          <w:b/>
          <w:szCs w:val="24"/>
        </w:rPr>
      </w:pPr>
      <w:r w:rsidRPr="00D6796A">
        <w:rPr>
          <w:rFonts w:cs="Arial"/>
          <w:szCs w:val="24"/>
        </w:rPr>
        <w:t>The Local Government Act 2003 and supporting regulations require the County Council to have regard to the prudential code and to set prudential indicators to ensure the County Council's capital investment plans are affordable, prudent and sustain</w:t>
      </w:r>
      <w:r w:rsidR="000331F9" w:rsidRPr="00D6796A">
        <w:rPr>
          <w:rFonts w:cs="Arial"/>
          <w:szCs w:val="24"/>
        </w:rPr>
        <w:t>able.</w:t>
      </w:r>
    </w:p>
    <w:p w14:paraId="24771313" w14:textId="77777777" w:rsidR="00267737" w:rsidRPr="00D6796A" w:rsidRDefault="00267737" w:rsidP="008337AA">
      <w:pPr>
        <w:jc w:val="both"/>
        <w:rPr>
          <w:rFonts w:cs="Arial"/>
          <w:b/>
          <w:szCs w:val="24"/>
        </w:rPr>
      </w:pPr>
    </w:p>
    <w:p w14:paraId="5C000E86" w14:textId="77777777" w:rsidR="00542C00" w:rsidRDefault="000331F9" w:rsidP="008337AA">
      <w:pPr>
        <w:jc w:val="both"/>
        <w:rPr>
          <w:rFonts w:cs="Arial"/>
          <w:szCs w:val="24"/>
        </w:rPr>
      </w:pPr>
      <w:r w:rsidRPr="00D6796A">
        <w:rPr>
          <w:rFonts w:cs="Arial"/>
          <w:szCs w:val="24"/>
        </w:rPr>
        <w:t>The County Council are within the P</w:t>
      </w:r>
      <w:r w:rsidR="00D45685" w:rsidRPr="00D6796A">
        <w:rPr>
          <w:rFonts w:cs="Arial"/>
          <w:szCs w:val="24"/>
        </w:rPr>
        <w:t xml:space="preserve">rudential </w:t>
      </w:r>
      <w:r w:rsidRPr="00D6796A">
        <w:rPr>
          <w:rFonts w:cs="Arial"/>
          <w:szCs w:val="24"/>
        </w:rPr>
        <w:t>I</w:t>
      </w:r>
      <w:r w:rsidR="00D45685" w:rsidRPr="00D6796A">
        <w:rPr>
          <w:rFonts w:cs="Arial"/>
          <w:szCs w:val="24"/>
        </w:rPr>
        <w:t>ndicators</w:t>
      </w:r>
      <w:r w:rsidRPr="00D6796A">
        <w:rPr>
          <w:rFonts w:cs="Arial"/>
          <w:szCs w:val="24"/>
        </w:rPr>
        <w:t xml:space="preserve"> as detailed in Annex 1.</w:t>
      </w:r>
    </w:p>
    <w:p w14:paraId="690B659B" w14:textId="77777777" w:rsidR="000A25CD" w:rsidRDefault="000A25CD" w:rsidP="008337AA">
      <w:pPr>
        <w:jc w:val="both"/>
        <w:rPr>
          <w:rFonts w:cs="Arial"/>
          <w:szCs w:val="24"/>
        </w:rPr>
      </w:pPr>
    </w:p>
    <w:p w14:paraId="7545D900" w14:textId="77777777" w:rsidR="000A25CD" w:rsidRDefault="000A25CD" w:rsidP="008337AA">
      <w:pPr>
        <w:jc w:val="both"/>
        <w:rPr>
          <w:rFonts w:cs="Arial"/>
          <w:szCs w:val="24"/>
        </w:rPr>
      </w:pPr>
    </w:p>
    <w:p w14:paraId="13A2D235" w14:textId="77777777" w:rsidR="000A25CD" w:rsidRDefault="000A25CD" w:rsidP="008337AA">
      <w:pPr>
        <w:jc w:val="both"/>
        <w:rPr>
          <w:rFonts w:cs="Arial"/>
          <w:szCs w:val="24"/>
        </w:rPr>
      </w:pPr>
    </w:p>
    <w:p w14:paraId="686702CF" w14:textId="77777777" w:rsidR="000A25CD" w:rsidRDefault="000A25CD" w:rsidP="008337AA">
      <w:pPr>
        <w:jc w:val="both"/>
        <w:rPr>
          <w:rFonts w:cs="Arial"/>
          <w:szCs w:val="24"/>
        </w:rPr>
      </w:pPr>
    </w:p>
    <w:p w14:paraId="52E3AAF2" w14:textId="77777777" w:rsidR="000A25CD" w:rsidRDefault="000A25CD" w:rsidP="008337AA">
      <w:pPr>
        <w:jc w:val="both"/>
        <w:rPr>
          <w:rFonts w:cs="Arial"/>
          <w:szCs w:val="24"/>
        </w:rPr>
      </w:pPr>
    </w:p>
    <w:p w14:paraId="0321E766" w14:textId="77777777" w:rsidR="000A25CD" w:rsidRDefault="000A25CD" w:rsidP="008337AA">
      <w:pPr>
        <w:jc w:val="both"/>
        <w:rPr>
          <w:rFonts w:cs="Arial"/>
          <w:szCs w:val="24"/>
        </w:rPr>
      </w:pPr>
    </w:p>
    <w:p w14:paraId="46B6F398" w14:textId="77777777" w:rsidR="000A25CD" w:rsidRDefault="000A25CD" w:rsidP="008337AA">
      <w:pPr>
        <w:jc w:val="both"/>
        <w:rPr>
          <w:rFonts w:cs="Arial"/>
          <w:szCs w:val="24"/>
        </w:rPr>
      </w:pPr>
    </w:p>
    <w:p w14:paraId="73ABE942" w14:textId="77777777" w:rsidR="000A25CD" w:rsidRDefault="000A25CD" w:rsidP="008337AA">
      <w:pPr>
        <w:jc w:val="both"/>
        <w:rPr>
          <w:rFonts w:cs="Arial"/>
          <w:szCs w:val="24"/>
        </w:rPr>
      </w:pPr>
    </w:p>
    <w:p w14:paraId="25206E0F" w14:textId="77777777" w:rsidR="000A25CD" w:rsidRDefault="000A25CD" w:rsidP="008337AA">
      <w:pPr>
        <w:jc w:val="both"/>
        <w:rPr>
          <w:rFonts w:cs="Arial"/>
          <w:szCs w:val="24"/>
        </w:rPr>
      </w:pPr>
    </w:p>
    <w:p w14:paraId="682AEA46" w14:textId="77777777" w:rsidR="000A25CD" w:rsidRDefault="000A25CD" w:rsidP="008337AA">
      <w:pPr>
        <w:jc w:val="both"/>
        <w:rPr>
          <w:rFonts w:cs="Arial"/>
          <w:szCs w:val="24"/>
        </w:rPr>
      </w:pPr>
    </w:p>
    <w:p w14:paraId="516A5B71" w14:textId="77777777" w:rsidR="000A25CD" w:rsidRDefault="000A25CD" w:rsidP="008337AA">
      <w:pPr>
        <w:jc w:val="both"/>
        <w:rPr>
          <w:rFonts w:cs="Arial"/>
          <w:szCs w:val="24"/>
        </w:rPr>
      </w:pPr>
    </w:p>
    <w:p w14:paraId="7842D9FC" w14:textId="77777777" w:rsidR="000A25CD" w:rsidRDefault="000A25CD" w:rsidP="008337AA">
      <w:pPr>
        <w:jc w:val="both"/>
        <w:rPr>
          <w:rFonts w:cs="Arial"/>
          <w:szCs w:val="24"/>
        </w:rPr>
      </w:pPr>
    </w:p>
    <w:p w14:paraId="37B193E1" w14:textId="77777777" w:rsidR="000A25CD" w:rsidRDefault="000A25CD" w:rsidP="008337AA">
      <w:pPr>
        <w:jc w:val="both"/>
        <w:rPr>
          <w:rFonts w:cs="Arial"/>
          <w:szCs w:val="24"/>
        </w:rPr>
      </w:pPr>
    </w:p>
    <w:p w14:paraId="3282F7FB" w14:textId="77777777" w:rsidR="000A25CD" w:rsidRDefault="000A25CD" w:rsidP="008337AA">
      <w:pPr>
        <w:jc w:val="both"/>
        <w:rPr>
          <w:rFonts w:cs="Arial"/>
          <w:szCs w:val="24"/>
        </w:rPr>
      </w:pPr>
    </w:p>
    <w:p w14:paraId="65701878" w14:textId="77777777" w:rsidR="000A25CD" w:rsidRDefault="000A25CD" w:rsidP="008337AA">
      <w:pPr>
        <w:jc w:val="both"/>
        <w:rPr>
          <w:rFonts w:cs="Arial"/>
          <w:szCs w:val="24"/>
        </w:rPr>
      </w:pPr>
    </w:p>
    <w:p w14:paraId="1867ADF4" w14:textId="77777777" w:rsidR="000A25CD" w:rsidRDefault="000A25CD" w:rsidP="008337AA">
      <w:pPr>
        <w:jc w:val="both"/>
        <w:rPr>
          <w:rFonts w:cs="Arial"/>
          <w:szCs w:val="24"/>
        </w:rPr>
      </w:pPr>
    </w:p>
    <w:p w14:paraId="5C8934DE" w14:textId="77777777" w:rsidR="000A25CD" w:rsidRDefault="000A25CD" w:rsidP="008337AA">
      <w:pPr>
        <w:jc w:val="both"/>
        <w:rPr>
          <w:rFonts w:cs="Arial"/>
          <w:szCs w:val="24"/>
        </w:rPr>
      </w:pPr>
    </w:p>
    <w:p w14:paraId="16BE1094" w14:textId="77777777" w:rsidR="000A25CD" w:rsidRDefault="000A25CD" w:rsidP="008337AA">
      <w:pPr>
        <w:jc w:val="both"/>
        <w:rPr>
          <w:rFonts w:cs="Arial"/>
          <w:szCs w:val="24"/>
        </w:rPr>
      </w:pPr>
    </w:p>
    <w:p w14:paraId="148EAEC6" w14:textId="77777777" w:rsidR="000A25CD" w:rsidRDefault="000A25CD" w:rsidP="008337AA">
      <w:pPr>
        <w:jc w:val="both"/>
        <w:rPr>
          <w:rFonts w:cs="Arial"/>
          <w:szCs w:val="24"/>
        </w:rPr>
      </w:pPr>
    </w:p>
    <w:p w14:paraId="40D38D77" w14:textId="77777777" w:rsidR="000A25CD" w:rsidRDefault="000A25CD" w:rsidP="008337AA">
      <w:pPr>
        <w:jc w:val="both"/>
        <w:rPr>
          <w:rFonts w:cs="Arial"/>
          <w:szCs w:val="24"/>
        </w:rPr>
      </w:pPr>
    </w:p>
    <w:p w14:paraId="0EE6D62A" w14:textId="77777777" w:rsidR="000A25CD" w:rsidRDefault="000A25CD" w:rsidP="008337AA">
      <w:pPr>
        <w:jc w:val="both"/>
        <w:rPr>
          <w:rFonts w:cs="Arial"/>
          <w:szCs w:val="24"/>
        </w:rPr>
      </w:pPr>
    </w:p>
    <w:p w14:paraId="48B2CB1F" w14:textId="77777777" w:rsidR="000A25CD" w:rsidRDefault="000A25CD" w:rsidP="008337AA">
      <w:pPr>
        <w:jc w:val="both"/>
        <w:rPr>
          <w:rFonts w:cs="Arial"/>
          <w:szCs w:val="24"/>
        </w:rPr>
      </w:pPr>
    </w:p>
    <w:p w14:paraId="0E273124" w14:textId="77777777" w:rsidR="000A25CD" w:rsidRDefault="000A25CD" w:rsidP="008337AA">
      <w:pPr>
        <w:jc w:val="both"/>
        <w:rPr>
          <w:rFonts w:cs="Arial"/>
          <w:szCs w:val="24"/>
        </w:rPr>
      </w:pPr>
    </w:p>
    <w:p w14:paraId="1094F37E" w14:textId="77777777" w:rsidR="000A25CD" w:rsidRDefault="000A25CD" w:rsidP="008337AA">
      <w:pPr>
        <w:jc w:val="both"/>
        <w:rPr>
          <w:rFonts w:cs="Arial"/>
          <w:szCs w:val="24"/>
        </w:rPr>
      </w:pPr>
    </w:p>
    <w:p w14:paraId="3D4DF234" w14:textId="77777777" w:rsidR="000A25CD" w:rsidRDefault="000A25CD" w:rsidP="008337AA">
      <w:pPr>
        <w:jc w:val="both"/>
        <w:rPr>
          <w:rFonts w:cs="Arial"/>
          <w:szCs w:val="24"/>
        </w:rPr>
      </w:pPr>
    </w:p>
    <w:p w14:paraId="72518F07" w14:textId="77777777" w:rsidR="000A25CD" w:rsidRDefault="000A25CD" w:rsidP="008337AA">
      <w:pPr>
        <w:jc w:val="both"/>
        <w:rPr>
          <w:rFonts w:cs="Arial"/>
          <w:szCs w:val="24"/>
        </w:rPr>
      </w:pPr>
    </w:p>
    <w:p w14:paraId="2BDC546A" w14:textId="77777777" w:rsidR="000A25CD" w:rsidRDefault="000A25CD" w:rsidP="008337AA">
      <w:pPr>
        <w:jc w:val="both"/>
        <w:rPr>
          <w:rFonts w:cs="Arial"/>
          <w:bCs/>
        </w:rPr>
      </w:pPr>
    </w:p>
    <w:p w14:paraId="71543B37" w14:textId="77777777" w:rsidR="000A25CD" w:rsidRDefault="000331F9" w:rsidP="008337AA">
      <w:pPr>
        <w:jc w:val="both"/>
        <w:rPr>
          <w:rFonts w:cs="Arial"/>
          <w:bCs/>
        </w:rPr>
      </w:pPr>
      <w:r w:rsidRPr="003E41D6">
        <w:rPr>
          <w:rFonts w:cs="Arial"/>
          <w:bCs/>
        </w:rPr>
        <w:tab/>
      </w:r>
      <w:r w:rsidRPr="003E41D6">
        <w:rPr>
          <w:rFonts w:cs="Arial"/>
          <w:bCs/>
        </w:rPr>
        <w:tab/>
      </w:r>
      <w:r w:rsidRPr="003E41D6">
        <w:rPr>
          <w:rFonts w:cs="Arial"/>
          <w:bCs/>
        </w:rPr>
        <w:tab/>
      </w:r>
      <w:r w:rsidRPr="003E41D6">
        <w:rPr>
          <w:rFonts w:cs="Arial"/>
          <w:bCs/>
        </w:rPr>
        <w:tab/>
      </w:r>
      <w:r w:rsidRPr="003E41D6">
        <w:rPr>
          <w:rFonts w:cs="Arial"/>
          <w:bCs/>
        </w:rPr>
        <w:tab/>
      </w:r>
      <w:r w:rsidRPr="003E41D6">
        <w:rPr>
          <w:rFonts w:cs="Arial"/>
          <w:bCs/>
        </w:rPr>
        <w:tab/>
      </w:r>
      <w:r w:rsidRPr="003E41D6">
        <w:rPr>
          <w:rFonts w:cs="Arial"/>
          <w:bCs/>
        </w:rPr>
        <w:tab/>
      </w:r>
      <w:r w:rsidRPr="003E41D6">
        <w:rPr>
          <w:rFonts w:cs="Arial"/>
          <w:bCs/>
        </w:rPr>
        <w:tab/>
      </w:r>
      <w:r w:rsidRPr="003E41D6">
        <w:rPr>
          <w:rFonts w:cs="Arial"/>
          <w:bCs/>
        </w:rPr>
        <w:tab/>
      </w:r>
    </w:p>
    <w:p w14:paraId="3DFA1828" w14:textId="587EAC41" w:rsidR="000A25CD" w:rsidRPr="000A25CD" w:rsidRDefault="000A25CD" w:rsidP="000A25CD">
      <w:pPr>
        <w:ind w:left="6480" w:firstLine="720"/>
        <w:jc w:val="both"/>
        <w:rPr>
          <w:rFonts w:cs="Arial"/>
          <w:b/>
          <w:bCs/>
        </w:rPr>
      </w:pPr>
      <w:r w:rsidRPr="000A25CD">
        <w:rPr>
          <w:rFonts w:cs="Arial"/>
          <w:b/>
          <w:bCs/>
        </w:rPr>
        <w:lastRenderedPageBreak/>
        <w:t>Annex</w:t>
      </w:r>
      <w:r w:rsidR="00A3400D">
        <w:rPr>
          <w:rFonts w:cs="Arial"/>
          <w:b/>
          <w:bCs/>
        </w:rPr>
        <w:t xml:space="preserve"> 1</w:t>
      </w:r>
    </w:p>
    <w:p w14:paraId="59F40168" w14:textId="3E7D97DD" w:rsidR="00BA65AE" w:rsidRPr="00542C00" w:rsidRDefault="00BA65AE" w:rsidP="008337AA">
      <w:pPr>
        <w:jc w:val="both"/>
        <w:rPr>
          <w:rFonts w:cs="Arial"/>
          <w:bCs/>
          <w:szCs w:val="24"/>
          <w:highlight w:val="yellow"/>
        </w:rPr>
      </w:pPr>
      <w:r w:rsidRPr="003E41D6">
        <w:rPr>
          <w:rFonts w:cs="Arial"/>
          <w:b/>
          <w:bCs/>
          <w:u w:val="single"/>
        </w:rPr>
        <w:t>Prudential Indicators</w:t>
      </w:r>
    </w:p>
    <w:p w14:paraId="00E6CDE6" w14:textId="77777777" w:rsidR="00BA65AE" w:rsidRPr="008812B8" w:rsidRDefault="00BA65AE" w:rsidP="008337AA">
      <w:pPr>
        <w:jc w:val="both"/>
        <w:rPr>
          <w:rFonts w:cs="Arial"/>
          <w:b/>
          <w:bCs/>
          <w:highlight w:val="yellow"/>
          <w:u w:val="single"/>
        </w:rPr>
      </w:pPr>
    </w:p>
    <w:tbl>
      <w:tblPr>
        <w:tblW w:w="9274" w:type="dxa"/>
        <w:tblInd w:w="-607" w:type="dxa"/>
        <w:tblLook w:val="04A0" w:firstRow="1" w:lastRow="0" w:firstColumn="1" w:lastColumn="0" w:noHBand="0" w:noVBand="1"/>
      </w:tblPr>
      <w:tblGrid>
        <w:gridCol w:w="6679"/>
        <w:gridCol w:w="1084"/>
        <w:gridCol w:w="1540"/>
      </w:tblGrid>
      <w:tr w:rsidR="003E41D6" w:rsidRPr="003E41D6" w14:paraId="09045D36" w14:textId="77777777" w:rsidTr="00542C00">
        <w:trPr>
          <w:trHeight w:val="303"/>
        </w:trPr>
        <w:tc>
          <w:tcPr>
            <w:tcW w:w="6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2CDC8" w14:textId="77777777" w:rsidR="003E41D6" w:rsidRPr="003E41D6" w:rsidRDefault="003E41D6" w:rsidP="003E41D6">
            <w:pPr>
              <w:rPr>
                <w:rFonts w:cs="Arial"/>
                <w:b/>
                <w:bCs/>
                <w:color w:val="000000"/>
                <w:szCs w:val="24"/>
              </w:rPr>
            </w:pPr>
            <w:r w:rsidRPr="003E41D6">
              <w:rPr>
                <w:rFonts w:cs="Arial"/>
                <w:b/>
                <w:bCs/>
                <w:color w:val="000000"/>
                <w:szCs w:val="24"/>
              </w:rPr>
              <w:t>1. Adoption of CIPFA Treasury Management Code of Practice</w:t>
            </w:r>
          </w:p>
        </w:tc>
        <w:tc>
          <w:tcPr>
            <w:tcW w:w="25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9D48F4" w14:textId="77777777" w:rsidR="003E41D6" w:rsidRPr="003E41D6" w:rsidRDefault="003E41D6" w:rsidP="003E41D6">
            <w:pPr>
              <w:jc w:val="center"/>
              <w:rPr>
                <w:rFonts w:cs="Arial"/>
                <w:color w:val="000000"/>
                <w:szCs w:val="24"/>
              </w:rPr>
            </w:pPr>
            <w:r w:rsidRPr="003E41D6">
              <w:rPr>
                <w:rFonts w:cs="Arial"/>
                <w:color w:val="000000"/>
                <w:szCs w:val="24"/>
              </w:rPr>
              <w:t>Adopted</w:t>
            </w:r>
          </w:p>
        </w:tc>
      </w:tr>
      <w:tr w:rsidR="003E41D6" w:rsidRPr="003E41D6" w14:paraId="00293AC4" w14:textId="77777777" w:rsidTr="00542C00">
        <w:trPr>
          <w:trHeight w:val="303"/>
        </w:trPr>
        <w:tc>
          <w:tcPr>
            <w:tcW w:w="6679" w:type="dxa"/>
            <w:tcBorders>
              <w:top w:val="nil"/>
              <w:left w:val="nil"/>
              <w:bottom w:val="nil"/>
              <w:right w:val="nil"/>
            </w:tcBorders>
            <w:shd w:val="clear" w:color="auto" w:fill="auto"/>
            <w:vAlign w:val="center"/>
            <w:hideMark/>
          </w:tcPr>
          <w:p w14:paraId="0778864F" w14:textId="77777777" w:rsidR="003E41D6" w:rsidRPr="003E41D6" w:rsidRDefault="003E41D6" w:rsidP="003E41D6">
            <w:pPr>
              <w:jc w:val="center"/>
              <w:rPr>
                <w:rFonts w:cs="Arial"/>
                <w:color w:val="000000"/>
                <w:szCs w:val="24"/>
              </w:rPr>
            </w:pPr>
          </w:p>
        </w:tc>
        <w:tc>
          <w:tcPr>
            <w:tcW w:w="1054" w:type="dxa"/>
            <w:tcBorders>
              <w:top w:val="nil"/>
              <w:left w:val="nil"/>
              <w:bottom w:val="nil"/>
              <w:right w:val="nil"/>
            </w:tcBorders>
            <w:shd w:val="clear" w:color="auto" w:fill="auto"/>
            <w:noWrap/>
            <w:vAlign w:val="center"/>
            <w:hideMark/>
          </w:tcPr>
          <w:p w14:paraId="35C54630" w14:textId="77777777" w:rsidR="003E41D6" w:rsidRPr="003E41D6" w:rsidRDefault="003E41D6" w:rsidP="003E41D6">
            <w:pPr>
              <w:rPr>
                <w:rFonts w:ascii="Times New Roman" w:hAnsi="Times New Roman"/>
                <w:sz w:val="20"/>
              </w:rPr>
            </w:pPr>
          </w:p>
        </w:tc>
        <w:tc>
          <w:tcPr>
            <w:tcW w:w="1540" w:type="dxa"/>
            <w:tcBorders>
              <w:top w:val="nil"/>
              <w:left w:val="nil"/>
              <w:bottom w:val="nil"/>
              <w:right w:val="nil"/>
            </w:tcBorders>
            <w:shd w:val="clear" w:color="auto" w:fill="auto"/>
            <w:noWrap/>
            <w:vAlign w:val="center"/>
            <w:hideMark/>
          </w:tcPr>
          <w:p w14:paraId="6C226FD5" w14:textId="77777777" w:rsidR="003E41D6" w:rsidRPr="003E41D6" w:rsidRDefault="003E41D6" w:rsidP="003E41D6">
            <w:pPr>
              <w:jc w:val="center"/>
              <w:rPr>
                <w:rFonts w:ascii="Times New Roman" w:hAnsi="Times New Roman"/>
                <w:sz w:val="20"/>
              </w:rPr>
            </w:pPr>
          </w:p>
        </w:tc>
      </w:tr>
      <w:tr w:rsidR="003E41D6" w:rsidRPr="003E41D6" w14:paraId="1F6B58B2" w14:textId="77777777" w:rsidTr="00542C00">
        <w:trPr>
          <w:trHeight w:val="303"/>
        </w:trPr>
        <w:tc>
          <w:tcPr>
            <w:tcW w:w="6679" w:type="dxa"/>
            <w:tcBorders>
              <w:top w:val="nil"/>
              <w:left w:val="nil"/>
              <w:bottom w:val="nil"/>
              <w:right w:val="nil"/>
            </w:tcBorders>
            <w:shd w:val="clear" w:color="auto" w:fill="auto"/>
            <w:vAlign w:val="center"/>
            <w:hideMark/>
          </w:tcPr>
          <w:p w14:paraId="48C01265" w14:textId="77777777" w:rsidR="003E41D6" w:rsidRPr="003E41D6" w:rsidRDefault="003E41D6" w:rsidP="003E41D6">
            <w:pPr>
              <w:jc w:val="center"/>
              <w:rPr>
                <w:rFonts w:ascii="Times New Roman" w:hAnsi="Times New Roman"/>
                <w:sz w:val="20"/>
              </w:rPr>
            </w:pPr>
          </w:p>
        </w:tc>
        <w:tc>
          <w:tcPr>
            <w:tcW w:w="1054" w:type="dxa"/>
            <w:tcBorders>
              <w:top w:val="nil"/>
              <w:left w:val="nil"/>
              <w:bottom w:val="nil"/>
              <w:right w:val="nil"/>
            </w:tcBorders>
            <w:shd w:val="clear" w:color="auto" w:fill="auto"/>
            <w:noWrap/>
            <w:vAlign w:val="center"/>
            <w:hideMark/>
          </w:tcPr>
          <w:p w14:paraId="0B8E9871" w14:textId="77777777" w:rsidR="003E41D6" w:rsidRPr="003E41D6" w:rsidRDefault="003E41D6" w:rsidP="003E41D6">
            <w:pPr>
              <w:rPr>
                <w:rFonts w:ascii="Times New Roman" w:hAnsi="Times New Roman"/>
                <w:sz w:val="20"/>
              </w:rPr>
            </w:pPr>
          </w:p>
        </w:tc>
        <w:tc>
          <w:tcPr>
            <w:tcW w:w="1540" w:type="dxa"/>
            <w:tcBorders>
              <w:top w:val="nil"/>
              <w:left w:val="nil"/>
              <w:bottom w:val="nil"/>
              <w:right w:val="nil"/>
            </w:tcBorders>
            <w:shd w:val="clear" w:color="auto" w:fill="auto"/>
            <w:noWrap/>
            <w:vAlign w:val="center"/>
            <w:hideMark/>
          </w:tcPr>
          <w:p w14:paraId="787AF08D" w14:textId="77777777" w:rsidR="003E41D6" w:rsidRPr="003E41D6" w:rsidRDefault="003E41D6" w:rsidP="003E41D6">
            <w:pPr>
              <w:jc w:val="center"/>
              <w:rPr>
                <w:rFonts w:ascii="Times New Roman" w:hAnsi="Times New Roman"/>
                <w:sz w:val="20"/>
              </w:rPr>
            </w:pPr>
          </w:p>
        </w:tc>
      </w:tr>
      <w:tr w:rsidR="003E41D6" w:rsidRPr="003E41D6" w14:paraId="13CBFE39" w14:textId="77777777" w:rsidTr="00542C00">
        <w:trPr>
          <w:trHeight w:val="303"/>
        </w:trPr>
        <w:tc>
          <w:tcPr>
            <w:tcW w:w="6679" w:type="dxa"/>
            <w:tcBorders>
              <w:top w:val="nil"/>
              <w:left w:val="nil"/>
              <w:bottom w:val="nil"/>
              <w:right w:val="nil"/>
            </w:tcBorders>
            <w:shd w:val="clear" w:color="auto" w:fill="auto"/>
            <w:vAlign w:val="center"/>
            <w:hideMark/>
          </w:tcPr>
          <w:p w14:paraId="743667B9" w14:textId="77777777" w:rsidR="003E41D6" w:rsidRPr="003E41D6" w:rsidRDefault="003E41D6" w:rsidP="003E41D6">
            <w:pPr>
              <w:jc w:val="center"/>
              <w:rPr>
                <w:rFonts w:ascii="Times New Roman" w:hAnsi="Times New Roman"/>
                <w:sz w:val="20"/>
              </w:rPr>
            </w:pPr>
          </w:p>
        </w:tc>
        <w:tc>
          <w:tcPr>
            <w:tcW w:w="1054" w:type="dxa"/>
            <w:tcBorders>
              <w:top w:val="nil"/>
              <w:left w:val="nil"/>
              <w:bottom w:val="nil"/>
              <w:right w:val="nil"/>
            </w:tcBorders>
            <w:shd w:val="clear" w:color="auto" w:fill="auto"/>
            <w:noWrap/>
            <w:vAlign w:val="center"/>
            <w:hideMark/>
          </w:tcPr>
          <w:p w14:paraId="663613D9" w14:textId="77777777" w:rsidR="003E41D6" w:rsidRPr="003E41D6" w:rsidRDefault="003E41D6" w:rsidP="003E41D6">
            <w:pPr>
              <w:rPr>
                <w:rFonts w:ascii="Times New Roman" w:hAnsi="Times New Roman"/>
                <w:sz w:val="20"/>
              </w:rPr>
            </w:pPr>
          </w:p>
        </w:tc>
        <w:tc>
          <w:tcPr>
            <w:tcW w:w="1540" w:type="dxa"/>
            <w:tcBorders>
              <w:top w:val="nil"/>
              <w:left w:val="nil"/>
              <w:bottom w:val="nil"/>
              <w:right w:val="nil"/>
            </w:tcBorders>
            <w:shd w:val="clear" w:color="auto" w:fill="auto"/>
            <w:noWrap/>
            <w:vAlign w:val="bottom"/>
            <w:hideMark/>
          </w:tcPr>
          <w:p w14:paraId="43A45E8C" w14:textId="77777777" w:rsidR="003E41D6" w:rsidRPr="003E41D6" w:rsidRDefault="003E41D6" w:rsidP="003E41D6">
            <w:pPr>
              <w:jc w:val="center"/>
              <w:rPr>
                <w:rFonts w:ascii="Times New Roman" w:hAnsi="Times New Roman"/>
                <w:sz w:val="20"/>
              </w:rPr>
            </w:pPr>
          </w:p>
        </w:tc>
      </w:tr>
      <w:tr w:rsidR="003E41D6" w:rsidRPr="003E41D6" w14:paraId="0B218A2E" w14:textId="77777777" w:rsidTr="00542C00">
        <w:trPr>
          <w:trHeight w:val="303"/>
        </w:trPr>
        <w:tc>
          <w:tcPr>
            <w:tcW w:w="6679" w:type="dxa"/>
            <w:tcBorders>
              <w:top w:val="single" w:sz="4" w:space="0" w:color="auto"/>
              <w:left w:val="single" w:sz="4" w:space="0" w:color="auto"/>
              <w:bottom w:val="nil"/>
              <w:right w:val="single" w:sz="4" w:space="0" w:color="auto"/>
            </w:tcBorders>
            <w:shd w:val="clear" w:color="auto" w:fill="auto"/>
            <w:vAlign w:val="center"/>
            <w:hideMark/>
          </w:tcPr>
          <w:p w14:paraId="13E490A0" w14:textId="77777777" w:rsidR="003E41D6" w:rsidRPr="003E41D6" w:rsidRDefault="003E41D6" w:rsidP="003E41D6">
            <w:pPr>
              <w:rPr>
                <w:rFonts w:cs="Arial"/>
                <w:b/>
                <w:bCs/>
                <w:color w:val="000000"/>
                <w:szCs w:val="24"/>
              </w:rPr>
            </w:pPr>
            <w:r w:rsidRPr="003E41D6">
              <w:rPr>
                <w:rFonts w:cs="Arial"/>
                <w:b/>
                <w:bCs/>
                <w:color w:val="000000"/>
                <w:szCs w:val="24"/>
              </w:rPr>
              <w:t>2. Authorised limit for external debt</w:t>
            </w:r>
            <w:r w:rsidRPr="003E41D6">
              <w:rPr>
                <w:rFonts w:cs="Arial"/>
                <w:b/>
                <w:bCs/>
                <w:color w:val="000000"/>
                <w:szCs w:val="24"/>
              </w:rPr>
              <w:br/>
              <w:t>A prudent estimate of debt which reflects the Authority's capital expenditure plans and allows sufficient headroom for unusual cash movements</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CFB47" w14:textId="77777777" w:rsidR="003E41D6" w:rsidRPr="003E41D6" w:rsidRDefault="003E41D6" w:rsidP="003E41D6">
            <w:pPr>
              <w:jc w:val="center"/>
              <w:rPr>
                <w:rFonts w:cs="Arial"/>
                <w:b/>
                <w:bCs/>
                <w:color w:val="000000"/>
                <w:szCs w:val="24"/>
              </w:rPr>
            </w:pPr>
            <w:r w:rsidRPr="003E41D6">
              <w:rPr>
                <w:rFonts w:cs="Arial"/>
                <w:b/>
                <w:bCs/>
                <w:color w:val="000000"/>
                <w:szCs w:val="24"/>
              </w:rPr>
              <w:t>2015/16</w:t>
            </w:r>
          </w:p>
        </w:tc>
        <w:tc>
          <w:tcPr>
            <w:tcW w:w="1540" w:type="dxa"/>
            <w:vMerge w:val="restart"/>
            <w:tcBorders>
              <w:top w:val="single" w:sz="4" w:space="0" w:color="auto"/>
              <w:left w:val="single" w:sz="4" w:space="0" w:color="auto"/>
              <w:bottom w:val="nil"/>
              <w:right w:val="single" w:sz="4" w:space="0" w:color="auto"/>
            </w:tcBorders>
            <w:shd w:val="clear" w:color="auto" w:fill="auto"/>
            <w:vAlign w:val="center"/>
            <w:hideMark/>
          </w:tcPr>
          <w:p w14:paraId="3590B2A1" w14:textId="77777777" w:rsidR="003E41D6" w:rsidRPr="003E41D6" w:rsidRDefault="003E41D6" w:rsidP="003E41D6">
            <w:pPr>
              <w:jc w:val="center"/>
              <w:rPr>
                <w:rFonts w:cs="Arial"/>
                <w:b/>
                <w:bCs/>
                <w:color w:val="000000"/>
                <w:szCs w:val="24"/>
              </w:rPr>
            </w:pPr>
            <w:r w:rsidRPr="003E41D6">
              <w:rPr>
                <w:rFonts w:cs="Arial"/>
                <w:b/>
                <w:bCs/>
                <w:color w:val="000000"/>
                <w:szCs w:val="24"/>
              </w:rPr>
              <w:t>30th November Actual</w:t>
            </w:r>
          </w:p>
        </w:tc>
      </w:tr>
      <w:tr w:rsidR="003E41D6" w:rsidRPr="003E41D6" w14:paraId="4B23A77F" w14:textId="77777777" w:rsidTr="00542C00">
        <w:trPr>
          <w:trHeight w:val="880"/>
        </w:trPr>
        <w:tc>
          <w:tcPr>
            <w:tcW w:w="6679" w:type="dxa"/>
            <w:tcBorders>
              <w:top w:val="nil"/>
              <w:left w:val="single" w:sz="4" w:space="0" w:color="auto"/>
              <w:bottom w:val="single" w:sz="4" w:space="0" w:color="auto"/>
              <w:right w:val="single" w:sz="4" w:space="0" w:color="auto"/>
            </w:tcBorders>
            <w:shd w:val="clear" w:color="auto" w:fill="auto"/>
            <w:vAlign w:val="bottom"/>
            <w:hideMark/>
          </w:tcPr>
          <w:p w14:paraId="20BEC953" w14:textId="77777777" w:rsidR="003E41D6" w:rsidRPr="003E41D6" w:rsidRDefault="003E41D6" w:rsidP="003E41D6">
            <w:pPr>
              <w:rPr>
                <w:rFonts w:cs="Arial"/>
                <w:color w:val="000000"/>
                <w:szCs w:val="24"/>
              </w:rPr>
            </w:pPr>
            <w:r w:rsidRPr="003E41D6">
              <w:rPr>
                <w:rFonts w:cs="Arial"/>
                <w:color w:val="000000"/>
                <w:szCs w:val="24"/>
              </w:rPr>
              <w:t>The Authorised Limit is a prudent estimate of debt which reflects the Authority's capital expenditure plans and allows sufficient headroom for unusual cash movements.</w:t>
            </w: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523E3AFC" w14:textId="77777777" w:rsidR="003E41D6" w:rsidRPr="003E41D6" w:rsidRDefault="003E41D6" w:rsidP="003E41D6">
            <w:pPr>
              <w:rPr>
                <w:rFonts w:cs="Arial"/>
                <w:b/>
                <w:bCs/>
                <w:color w:val="000000"/>
                <w:szCs w:val="24"/>
              </w:rPr>
            </w:pPr>
          </w:p>
        </w:tc>
        <w:tc>
          <w:tcPr>
            <w:tcW w:w="1540" w:type="dxa"/>
            <w:vMerge/>
            <w:tcBorders>
              <w:top w:val="single" w:sz="4" w:space="0" w:color="auto"/>
              <w:left w:val="single" w:sz="4" w:space="0" w:color="auto"/>
              <w:bottom w:val="nil"/>
              <w:right w:val="single" w:sz="4" w:space="0" w:color="auto"/>
            </w:tcBorders>
            <w:vAlign w:val="center"/>
            <w:hideMark/>
          </w:tcPr>
          <w:p w14:paraId="3869BA7A" w14:textId="77777777" w:rsidR="003E41D6" w:rsidRPr="003E41D6" w:rsidRDefault="003E41D6" w:rsidP="003E41D6">
            <w:pPr>
              <w:rPr>
                <w:rFonts w:cs="Arial"/>
                <w:b/>
                <w:bCs/>
                <w:color w:val="000000"/>
                <w:szCs w:val="24"/>
              </w:rPr>
            </w:pPr>
          </w:p>
        </w:tc>
      </w:tr>
      <w:tr w:rsidR="003E41D6" w:rsidRPr="003E41D6" w14:paraId="6768B5CF" w14:textId="77777777" w:rsidTr="00542C00">
        <w:trPr>
          <w:trHeight w:val="303"/>
        </w:trPr>
        <w:tc>
          <w:tcPr>
            <w:tcW w:w="6679" w:type="dxa"/>
            <w:tcBorders>
              <w:top w:val="nil"/>
              <w:left w:val="single" w:sz="4" w:space="0" w:color="auto"/>
              <w:bottom w:val="single" w:sz="4" w:space="0" w:color="auto"/>
              <w:right w:val="single" w:sz="4" w:space="0" w:color="auto"/>
            </w:tcBorders>
            <w:shd w:val="clear" w:color="auto" w:fill="auto"/>
            <w:noWrap/>
            <w:vAlign w:val="center"/>
            <w:hideMark/>
          </w:tcPr>
          <w:p w14:paraId="31DD906C" w14:textId="77777777" w:rsidR="003E41D6" w:rsidRPr="003E41D6" w:rsidRDefault="003E41D6" w:rsidP="003E41D6">
            <w:pPr>
              <w:rPr>
                <w:rFonts w:cs="Arial"/>
                <w:b/>
                <w:bCs/>
                <w:color w:val="000000"/>
                <w:szCs w:val="24"/>
              </w:rPr>
            </w:pPr>
            <w:r w:rsidRPr="003E41D6">
              <w:rPr>
                <w:rFonts w:cs="Arial"/>
                <w:b/>
                <w:bCs/>
                <w:color w:val="000000"/>
                <w:szCs w:val="24"/>
              </w:rPr>
              <w:t> </w:t>
            </w:r>
          </w:p>
        </w:tc>
        <w:tc>
          <w:tcPr>
            <w:tcW w:w="1054" w:type="dxa"/>
            <w:tcBorders>
              <w:top w:val="nil"/>
              <w:left w:val="nil"/>
              <w:bottom w:val="single" w:sz="4" w:space="0" w:color="auto"/>
              <w:right w:val="single" w:sz="4" w:space="0" w:color="auto"/>
            </w:tcBorders>
            <w:shd w:val="clear" w:color="auto" w:fill="auto"/>
            <w:noWrap/>
            <w:vAlign w:val="center"/>
            <w:hideMark/>
          </w:tcPr>
          <w:p w14:paraId="1BFA5E8C" w14:textId="77777777" w:rsidR="003E41D6" w:rsidRPr="003E41D6" w:rsidRDefault="003E41D6" w:rsidP="003E41D6">
            <w:pPr>
              <w:jc w:val="center"/>
              <w:rPr>
                <w:rFonts w:cs="Arial"/>
                <w:b/>
                <w:bCs/>
                <w:color w:val="000000"/>
                <w:szCs w:val="24"/>
              </w:rPr>
            </w:pPr>
            <w:r w:rsidRPr="003E41D6">
              <w:rPr>
                <w:rFonts w:cs="Arial"/>
                <w:b/>
                <w:bCs/>
                <w:color w:val="000000"/>
                <w:szCs w:val="24"/>
              </w:rPr>
              <w:t>£m</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F09D621" w14:textId="77777777" w:rsidR="003E41D6" w:rsidRPr="003E41D6" w:rsidRDefault="003E41D6" w:rsidP="003E41D6">
            <w:pPr>
              <w:jc w:val="center"/>
              <w:rPr>
                <w:rFonts w:cs="Arial"/>
                <w:b/>
                <w:bCs/>
                <w:color w:val="000000"/>
                <w:szCs w:val="24"/>
              </w:rPr>
            </w:pPr>
            <w:r w:rsidRPr="003E41D6">
              <w:rPr>
                <w:rFonts w:cs="Arial"/>
                <w:b/>
                <w:bCs/>
                <w:color w:val="000000"/>
                <w:szCs w:val="24"/>
              </w:rPr>
              <w:t>£m</w:t>
            </w:r>
          </w:p>
        </w:tc>
      </w:tr>
      <w:tr w:rsidR="003E41D6" w:rsidRPr="003E41D6" w14:paraId="5A0796C8" w14:textId="77777777" w:rsidTr="00542C00">
        <w:trPr>
          <w:trHeight w:val="288"/>
        </w:trPr>
        <w:tc>
          <w:tcPr>
            <w:tcW w:w="6679" w:type="dxa"/>
            <w:tcBorders>
              <w:top w:val="nil"/>
              <w:left w:val="single" w:sz="4" w:space="0" w:color="auto"/>
              <w:bottom w:val="single" w:sz="4" w:space="0" w:color="auto"/>
              <w:right w:val="single" w:sz="4" w:space="0" w:color="auto"/>
            </w:tcBorders>
            <w:shd w:val="clear" w:color="auto" w:fill="auto"/>
            <w:noWrap/>
            <w:vAlign w:val="center"/>
            <w:hideMark/>
          </w:tcPr>
          <w:p w14:paraId="3713AFED" w14:textId="77777777" w:rsidR="003E41D6" w:rsidRPr="003E41D6" w:rsidRDefault="003E41D6" w:rsidP="003E41D6">
            <w:pPr>
              <w:rPr>
                <w:rFonts w:cs="Arial"/>
                <w:color w:val="000000"/>
                <w:szCs w:val="24"/>
              </w:rPr>
            </w:pPr>
            <w:r w:rsidRPr="003E41D6">
              <w:rPr>
                <w:rFonts w:cs="Arial"/>
                <w:color w:val="000000"/>
                <w:szCs w:val="24"/>
              </w:rPr>
              <w:t>Borrowing</w:t>
            </w:r>
          </w:p>
        </w:tc>
        <w:tc>
          <w:tcPr>
            <w:tcW w:w="1054" w:type="dxa"/>
            <w:tcBorders>
              <w:top w:val="nil"/>
              <w:left w:val="nil"/>
              <w:bottom w:val="single" w:sz="4" w:space="0" w:color="auto"/>
              <w:right w:val="single" w:sz="4" w:space="0" w:color="auto"/>
            </w:tcBorders>
            <w:shd w:val="clear" w:color="auto" w:fill="auto"/>
            <w:noWrap/>
            <w:vAlign w:val="center"/>
            <w:hideMark/>
          </w:tcPr>
          <w:p w14:paraId="0950D5E4" w14:textId="77777777" w:rsidR="003E41D6" w:rsidRPr="003E41D6" w:rsidRDefault="003E41D6" w:rsidP="003E41D6">
            <w:pPr>
              <w:jc w:val="center"/>
              <w:rPr>
                <w:rFonts w:cs="Arial"/>
                <w:color w:val="000000"/>
                <w:szCs w:val="24"/>
              </w:rPr>
            </w:pPr>
            <w:r w:rsidRPr="003E41D6">
              <w:rPr>
                <w:rFonts w:cs="Arial"/>
                <w:color w:val="000000"/>
                <w:szCs w:val="24"/>
              </w:rPr>
              <w:t>1,300</w:t>
            </w:r>
          </w:p>
        </w:tc>
        <w:tc>
          <w:tcPr>
            <w:tcW w:w="1540" w:type="dxa"/>
            <w:tcBorders>
              <w:top w:val="nil"/>
              <w:left w:val="nil"/>
              <w:bottom w:val="single" w:sz="4" w:space="0" w:color="auto"/>
              <w:right w:val="single" w:sz="4" w:space="0" w:color="auto"/>
            </w:tcBorders>
            <w:shd w:val="clear" w:color="auto" w:fill="auto"/>
            <w:noWrap/>
            <w:vAlign w:val="center"/>
            <w:hideMark/>
          </w:tcPr>
          <w:p w14:paraId="7D2A478B" w14:textId="77777777" w:rsidR="003E41D6" w:rsidRPr="003E41D6" w:rsidRDefault="003E41D6" w:rsidP="003E41D6">
            <w:pPr>
              <w:jc w:val="center"/>
              <w:rPr>
                <w:rFonts w:cs="Arial"/>
                <w:color w:val="000000"/>
                <w:szCs w:val="24"/>
              </w:rPr>
            </w:pPr>
            <w:r w:rsidRPr="003E41D6">
              <w:rPr>
                <w:rFonts w:cs="Arial"/>
                <w:color w:val="000000"/>
                <w:szCs w:val="24"/>
              </w:rPr>
              <w:t>1,120</w:t>
            </w:r>
          </w:p>
        </w:tc>
      </w:tr>
      <w:tr w:rsidR="003E41D6" w:rsidRPr="003E41D6" w14:paraId="34F057AB" w14:textId="77777777" w:rsidTr="00542C00">
        <w:trPr>
          <w:trHeight w:val="288"/>
        </w:trPr>
        <w:tc>
          <w:tcPr>
            <w:tcW w:w="6679" w:type="dxa"/>
            <w:tcBorders>
              <w:top w:val="nil"/>
              <w:left w:val="single" w:sz="4" w:space="0" w:color="auto"/>
              <w:bottom w:val="single" w:sz="4" w:space="0" w:color="auto"/>
              <w:right w:val="single" w:sz="4" w:space="0" w:color="auto"/>
            </w:tcBorders>
            <w:shd w:val="clear" w:color="auto" w:fill="auto"/>
            <w:noWrap/>
            <w:vAlign w:val="center"/>
            <w:hideMark/>
          </w:tcPr>
          <w:p w14:paraId="70305716" w14:textId="77777777" w:rsidR="003E41D6" w:rsidRPr="003E41D6" w:rsidRDefault="003E41D6" w:rsidP="003E41D6">
            <w:pPr>
              <w:rPr>
                <w:rFonts w:cs="Arial"/>
                <w:color w:val="000000"/>
                <w:szCs w:val="24"/>
              </w:rPr>
            </w:pPr>
            <w:r w:rsidRPr="003E41D6">
              <w:rPr>
                <w:rFonts w:cs="Arial"/>
                <w:color w:val="000000"/>
                <w:szCs w:val="24"/>
              </w:rPr>
              <w:t>Other long term liabilities (PFI schemes)</w:t>
            </w:r>
          </w:p>
        </w:tc>
        <w:tc>
          <w:tcPr>
            <w:tcW w:w="1054" w:type="dxa"/>
            <w:tcBorders>
              <w:top w:val="nil"/>
              <w:left w:val="nil"/>
              <w:bottom w:val="single" w:sz="4" w:space="0" w:color="auto"/>
              <w:right w:val="single" w:sz="4" w:space="0" w:color="auto"/>
            </w:tcBorders>
            <w:shd w:val="clear" w:color="auto" w:fill="auto"/>
            <w:noWrap/>
            <w:vAlign w:val="center"/>
            <w:hideMark/>
          </w:tcPr>
          <w:p w14:paraId="0989DE6E" w14:textId="77777777" w:rsidR="003E41D6" w:rsidRPr="003E41D6" w:rsidRDefault="003E41D6" w:rsidP="003E41D6">
            <w:pPr>
              <w:jc w:val="center"/>
              <w:rPr>
                <w:rFonts w:cs="Arial"/>
                <w:color w:val="000000"/>
                <w:szCs w:val="24"/>
              </w:rPr>
            </w:pPr>
            <w:r w:rsidRPr="003E41D6">
              <w:rPr>
                <w:rFonts w:cs="Arial"/>
                <w:color w:val="000000"/>
                <w:szCs w:val="24"/>
              </w:rPr>
              <w:t>250</w:t>
            </w:r>
          </w:p>
        </w:tc>
        <w:tc>
          <w:tcPr>
            <w:tcW w:w="1540" w:type="dxa"/>
            <w:tcBorders>
              <w:top w:val="nil"/>
              <w:left w:val="nil"/>
              <w:bottom w:val="single" w:sz="4" w:space="0" w:color="auto"/>
              <w:right w:val="single" w:sz="4" w:space="0" w:color="auto"/>
            </w:tcBorders>
            <w:shd w:val="clear" w:color="auto" w:fill="auto"/>
            <w:noWrap/>
            <w:vAlign w:val="center"/>
            <w:hideMark/>
          </w:tcPr>
          <w:p w14:paraId="0926EA1F" w14:textId="77777777" w:rsidR="003E41D6" w:rsidRPr="003E41D6" w:rsidRDefault="003E41D6" w:rsidP="003E41D6">
            <w:pPr>
              <w:jc w:val="center"/>
              <w:rPr>
                <w:rFonts w:cs="Arial"/>
                <w:color w:val="000000"/>
                <w:szCs w:val="24"/>
              </w:rPr>
            </w:pPr>
            <w:r w:rsidRPr="003E41D6">
              <w:rPr>
                <w:rFonts w:cs="Arial"/>
                <w:color w:val="000000"/>
                <w:szCs w:val="24"/>
              </w:rPr>
              <w:t>172</w:t>
            </w:r>
          </w:p>
        </w:tc>
      </w:tr>
      <w:tr w:rsidR="003E41D6" w:rsidRPr="003E41D6" w14:paraId="6B6DEFDE" w14:textId="77777777" w:rsidTr="00542C00">
        <w:trPr>
          <w:trHeight w:val="303"/>
        </w:trPr>
        <w:tc>
          <w:tcPr>
            <w:tcW w:w="6679" w:type="dxa"/>
            <w:tcBorders>
              <w:top w:val="nil"/>
              <w:left w:val="single" w:sz="4" w:space="0" w:color="auto"/>
              <w:bottom w:val="single" w:sz="4" w:space="0" w:color="auto"/>
              <w:right w:val="single" w:sz="4" w:space="0" w:color="auto"/>
            </w:tcBorders>
            <w:shd w:val="clear" w:color="auto" w:fill="auto"/>
            <w:noWrap/>
            <w:vAlign w:val="center"/>
            <w:hideMark/>
          </w:tcPr>
          <w:p w14:paraId="035FFBA3" w14:textId="77777777" w:rsidR="003E41D6" w:rsidRPr="003E41D6" w:rsidRDefault="003E41D6" w:rsidP="003E41D6">
            <w:pPr>
              <w:rPr>
                <w:rFonts w:cs="Arial"/>
                <w:b/>
                <w:bCs/>
                <w:color w:val="000000"/>
                <w:szCs w:val="24"/>
              </w:rPr>
            </w:pPr>
            <w:r w:rsidRPr="003E41D6">
              <w:rPr>
                <w:rFonts w:cs="Arial"/>
                <w:b/>
                <w:bCs/>
                <w:color w:val="000000"/>
                <w:szCs w:val="24"/>
              </w:rPr>
              <w:t>TOTAL</w:t>
            </w:r>
          </w:p>
        </w:tc>
        <w:tc>
          <w:tcPr>
            <w:tcW w:w="1054" w:type="dxa"/>
            <w:tcBorders>
              <w:top w:val="nil"/>
              <w:left w:val="nil"/>
              <w:bottom w:val="single" w:sz="4" w:space="0" w:color="auto"/>
              <w:right w:val="single" w:sz="4" w:space="0" w:color="auto"/>
            </w:tcBorders>
            <w:shd w:val="clear" w:color="auto" w:fill="auto"/>
            <w:noWrap/>
            <w:vAlign w:val="center"/>
            <w:hideMark/>
          </w:tcPr>
          <w:p w14:paraId="14455EC1" w14:textId="77777777" w:rsidR="003E41D6" w:rsidRPr="003E41D6" w:rsidRDefault="003E41D6" w:rsidP="003E41D6">
            <w:pPr>
              <w:jc w:val="center"/>
              <w:rPr>
                <w:rFonts w:cs="Arial"/>
                <w:b/>
                <w:bCs/>
                <w:color w:val="000000"/>
                <w:szCs w:val="24"/>
              </w:rPr>
            </w:pPr>
            <w:r w:rsidRPr="003E41D6">
              <w:rPr>
                <w:rFonts w:cs="Arial"/>
                <w:b/>
                <w:bCs/>
                <w:color w:val="000000"/>
                <w:szCs w:val="24"/>
              </w:rPr>
              <w:t>1,550</w:t>
            </w:r>
          </w:p>
        </w:tc>
        <w:tc>
          <w:tcPr>
            <w:tcW w:w="1540" w:type="dxa"/>
            <w:tcBorders>
              <w:top w:val="nil"/>
              <w:left w:val="nil"/>
              <w:bottom w:val="single" w:sz="4" w:space="0" w:color="auto"/>
              <w:right w:val="single" w:sz="4" w:space="0" w:color="auto"/>
            </w:tcBorders>
            <w:shd w:val="clear" w:color="auto" w:fill="auto"/>
            <w:noWrap/>
            <w:vAlign w:val="center"/>
            <w:hideMark/>
          </w:tcPr>
          <w:p w14:paraId="4450D0FA" w14:textId="77777777" w:rsidR="003E41D6" w:rsidRPr="003E41D6" w:rsidRDefault="003E41D6" w:rsidP="003E41D6">
            <w:pPr>
              <w:jc w:val="center"/>
              <w:rPr>
                <w:rFonts w:cs="Arial"/>
                <w:b/>
                <w:bCs/>
                <w:color w:val="000000"/>
                <w:szCs w:val="24"/>
              </w:rPr>
            </w:pPr>
            <w:r w:rsidRPr="003E41D6">
              <w:rPr>
                <w:rFonts w:cs="Arial"/>
                <w:b/>
                <w:bCs/>
                <w:color w:val="000000"/>
                <w:szCs w:val="24"/>
              </w:rPr>
              <w:t>1,292</w:t>
            </w:r>
          </w:p>
        </w:tc>
      </w:tr>
      <w:tr w:rsidR="003E41D6" w:rsidRPr="003E41D6" w14:paraId="7BE0C956" w14:textId="77777777" w:rsidTr="00542C00">
        <w:trPr>
          <w:trHeight w:val="303"/>
        </w:trPr>
        <w:tc>
          <w:tcPr>
            <w:tcW w:w="6679" w:type="dxa"/>
            <w:tcBorders>
              <w:top w:val="nil"/>
              <w:left w:val="nil"/>
              <w:bottom w:val="nil"/>
              <w:right w:val="nil"/>
            </w:tcBorders>
            <w:shd w:val="clear" w:color="auto" w:fill="auto"/>
            <w:noWrap/>
            <w:vAlign w:val="center"/>
            <w:hideMark/>
          </w:tcPr>
          <w:p w14:paraId="73980ACF" w14:textId="77777777" w:rsidR="003E41D6" w:rsidRPr="003E41D6" w:rsidRDefault="003E41D6" w:rsidP="003E41D6">
            <w:pPr>
              <w:jc w:val="center"/>
              <w:rPr>
                <w:rFonts w:cs="Arial"/>
                <w:b/>
                <w:bCs/>
                <w:color w:val="000000"/>
                <w:szCs w:val="24"/>
              </w:rPr>
            </w:pPr>
          </w:p>
        </w:tc>
        <w:tc>
          <w:tcPr>
            <w:tcW w:w="1054" w:type="dxa"/>
            <w:tcBorders>
              <w:top w:val="nil"/>
              <w:left w:val="nil"/>
              <w:bottom w:val="nil"/>
              <w:right w:val="nil"/>
            </w:tcBorders>
            <w:shd w:val="clear" w:color="auto" w:fill="auto"/>
            <w:noWrap/>
            <w:vAlign w:val="center"/>
            <w:hideMark/>
          </w:tcPr>
          <w:p w14:paraId="2AE3AE72" w14:textId="77777777" w:rsidR="003E41D6" w:rsidRPr="003E41D6" w:rsidRDefault="003E41D6" w:rsidP="003E41D6">
            <w:pPr>
              <w:rPr>
                <w:rFonts w:ascii="Times New Roman" w:hAnsi="Times New Roman"/>
                <w:sz w:val="20"/>
              </w:rPr>
            </w:pPr>
          </w:p>
        </w:tc>
        <w:tc>
          <w:tcPr>
            <w:tcW w:w="1540" w:type="dxa"/>
            <w:tcBorders>
              <w:top w:val="nil"/>
              <w:left w:val="nil"/>
              <w:bottom w:val="nil"/>
              <w:right w:val="nil"/>
            </w:tcBorders>
            <w:shd w:val="clear" w:color="auto" w:fill="auto"/>
            <w:noWrap/>
            <w:vAlign w:val="center"/>
            <w:hideMark/>
          </w:tcPr>
          <w:p w14:paraId="7BA82001" w14:textId="77777777" w:rsidR="003E41D6" w:rsidRPr="003E41D6" w:rsidRDefault="003E41D6" w:rsidP="003E41D6">
            <w:pPr>
              <w:jc w:val="center"/>
              <w:rPr>
                <w:rFonts w:ascii="Times New Roman" w:hAnsi="Times New Roman"/>
                <w:sz w:val="20"/>
              </w:rPr>
            </w:pPr>
          </w:p>
        </w:tc>
      </w:tr>
      <w:tr w:rsidR="003E41D6" w:rsidRPr="003E41D6" w14:paraId="48E32C91" w14:textId="77777777" w:rsidTr="00542C00">
        <w:trPr>
          <w:trHeight w:val="288"/>
        </w:trPr>
        <w:tc>
          <w:tcPr>
            <w:tcW w:w="6679" w:type="dxa"/>
            <w:tcBorders>
              <w:top w:val="nil"/>
              <w:left w:val="nil"/>
              <w:bottom w:val="nil"/>
              <w:right w:val="nil"/>
            </w:tcBorders>
            <w:shd w:val="clear" w:color="auto" w:fill="auto"/>
            <w:noWrap/>
            <w:vAlign w:val="bottom"/>
            <w:hideMark/>
          </w:tcPr>
          <w:p w14:paraId="7998D58F" w14:textId="77777777" w:rsidR="003E41D6" w:rsidRPr="003E41D6" w:rsidRDefault="003E41D6" w:rsidP="00542C00">
            <w:pPr>
              <w:rPr>
                <w:rFonts w:ascii="Times New Roman" w:hAnsi="Times New Roman"/>
                <w:sz w:val="20"/>
              </w:rPr>
            </w:pPr>
          </w:p>
        </w:tc>
        <w:tc>
          <w:tcPr>
            <w:tcW w:w="1054" w:type="dxa"/>
            <w:tcBorders>
              <w:top w:val="nil"/>
              <w:left w:val="nil"/>
              <w:bottom w:val="nil"/>
              <w:right w:val="nil"/>
            </w:tcBorders>
            <w:shd w:val="clear" w:color="auto" w:fill="auto"/>
            <w:noWrap/>
            <w:vAlign w:val="bottom"/>
            <w:hideMark/>
          </w:tcPr>
          <w:p w14:paraId="7745CFBF" w14:textId="77777777" w:rsidR="003E41D6" w:rsidRPr="003E41D6" w:rsidRDefault="003E41D6" w:rsidP="003E41D6">
            <w:pPr>
              <w:rPr>
                <w:rFonts w:ascii="Times New Roman" w:hAnsi="Times New Roman"/>
                <w:sz w:val="20"/>
              </w:rPr>
            </w:pPr>
          </w:p>
        </w:tc>
        <w:tc>
          <w:tcPr>
            <w:tcW w:w="1540" w:type="dxa"/>
            <w:tcBorders>
              <w:top w:val="nil"/>
              <w:left w:val="nil"/>
              <w:bottom w:val="nil"/>
              <w:right w:val="nil"/>
            </w:tcBorders>
            <w:shd w:val="clear" w:color="auto" w:fill="auto"/>
            <w:noWrap/>
            <w:vAlign w:val="bottom"/>
            <w:hideMark/>
          </w:tcPr>
          <w:p w14:paraId="4C3FDBE1" w14:textId="77777777" w:rsidR="003E41D6" w:rsidRPr="003E41D6" w:rsidRDefault="003E41D6" w:rsidP="003E41D6">
            <w:pPr>
              <w:rPr>
                <w:rFonts w:ascii="Times New Roman" w:hAnsi="Times New Roman"/>
                <w:sz w:val="20"/>
              </w:rPr>
            </w:pPr>
          </w:p>
        </w:tc>
      </w:tr>
      <w:tr w:rsidR="003E41D6" w:rsidRPr="003E41D6" w14:paraId="64E40E90" w14:textId="77777777" w:rsidTr="00542C00">
        <w:trPr>
          <w:trHeight w:val="303"/>
        </w:trPr>
        <w:tc>
          <w:tcPr>
            <w:tcW w:w="6679" w:type="dxa"/>
            <w:tcBorders>
              <w:top w:val="nil"/>
              <w:left w:val="nil"/>
              <w:bottom w:val="nil"/>
              <w:right w:val="nil"/>
            </w:tcBorders>
            <w:shd w:val="clear" w:color="auto" w:fill="auto"/>
            <w:noWrap/>
            <w:vAlign w:val="center"/>
            <w:hideMark/>
          </w:tcPr>
          <w:p w14:paraId="4E318ABF" w14:textId="77777777" w:rsidR="003E41D6" w:rsidRPr="003E41D6" w:rsidRDefault="003E41D6" w:rsidP="003E41D6">
            <w:pPr>
              <w:rPr>
                <w:rFonts w:ascii="Times New Roman" w:hAnsi="Times New Roman"/>
                <w:sz w:val="20"/>
              </w:rPr>
            </w:pPr>
          </w:p>
        </w:tc>
        <w:tc>
          <w:tcPr>
            <w:tcW w:w="1054" w:type="dxa"/>
            <w:tcBorders>
              <w:top w:val="nil"/>
              <w:left w:val="nil"/>
              <w:bottom w:val="nil"/>
              <w:right w:val="nil"/>
            </w:tcBorders>
            <w:shd w:val="clear" w:color="auto" w:fill="auto"/>
            <w:noWrap/>
            <w:vAlign w:val="bottom"/>
            <w:hideMark/>
          </w:tcPr>
          <w:p w14:paraId="5DA49395" w14:textId="77777777" w:rsidR="003E41D6" w:rsidRPr="003E41D6" w:rsidRDefault="003E41D6" w:rsidP="003E41D6">
            <w:pPr>
              <w:rPr>
                <w:rFonts w:ascii="Times New Roman" w:hAnsi="Times New Roman"/>
                <w:sz w:val="20"/>
              </w:rPr>
            </w:pPr>
          </w:p>
        </w:tc>
        <w:tc>
          <w:tcPr>
            <w:tcW w:w="1540" w:type="dxa"/>
            <w:tcBorders>
              <w:top w:val="nil"/>
              <w:left w:val="nil"/>
              <w:bottom w:val="nil"/>
              <w:right w:val="nil"/>
            </w:tcBorders>
            <w:shd w:val="clear" w:color="auto" w:fill="auto"/>
            <w:noWrap/>
            <w:vAlign w:val="bottom"/>
            <w:hideMark/>
          </w:tcPr>
          <w:p w14:paraId="0DBE9EF0" w14:textId="77777777" w:rsidR="003E41D6" w:rsidRPr="003E41D6" w:rsidRDefault="003E41D6" w:rsidP="003E41D6">
            <w:pPr>
              <w:rPr>
                <w:rFonts w:ascii="Times New Roman" w:hAnsi="Times New Roman"/>
                <w:sz w:val="20"/>
              </w:rPr>
            </w:pPr>
          </w:p>
        </w:tc>
      </w:tr>
      <w:tr w:rsidR="003E41D6" w:rsidRPr="003E41D6" w14:paraId="61E2C127" w14:textId="77777777" w:rsidTr="00542C00">
        <w:trPr>
          <w:trHeight w:val="288"/>
        </w:trPr>
        <w:tc>
          <w:tcPr>
            <w:tcW w:w="6679" w:type="dxa"/>
            <w:tcBorders>
              <w:top w:val="single" w:sz="4" w:space="0" w:color="auto"/>
              <w:left w:val="single" w:sz="4" w:space="0" w:color="auto"/>
              <w:bottom w:val="nil"/>
              <w:right w:val="single" w:sz="4" w:space="0" w:color="auto"/>
            </w:tcBorders>
            <w:shd w:val="clear" w:color="auto" w:fill="auto"/>
            <w:vAlign w:val="center"/>
            <w:hideMark/>
          </w:tcPr>
          <w:p w14:paraId="1C0F9F0E" w14:textId="77777777" w:rsidR="003E41D6" w:rsidRPr="003E41D6" w:rsidRDefault="003E41D6" w:rsidP="003E41D6">
            <w:pPr>
              <w:rPr>
                <w:rFonts w:cs="Arial"/>
                <w:b/>
                <w:bCs/>
                <w:color w:val="000000"/>
                <w:szCs w:val="24"/>
              </w:rPr>
            </w:pPr>
            <w:r w:rsidRPr="003E41D6">
              <w:rPr>
                <w:rFonts w:cs="Arial"/>
                <w:b/>
                <w:bCs/>
                <w:color w:val="000000"/>
                <w:szCs w:val="24"/>
              </w:rPr>
              <w:t>3. Operational boundary for external debt</w:t>
            </w:r>
          </w:p>
        </w:tc>
        <w:tc>
          <w:tcPr>
            <w:tcW w:w="1054"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1E558F6A" w14:textId="77777777" w:rsidR="003E41D6" w:rsidRPr="003E41D6" w:rsidRDefault="003E41D6" w:rsidP="003E41D6">
            <w:pPr>
              <w:jc w:val="center"/>
              <w:rPr>
                <w:rFonts w:cs="Arial"/>
                <w:b/>
                <w:bCs/>
                <w:color w:val="000000"/>
                <w:szCs w:val="24"/>
              </w:rPr>
            </w:pPr>
            <w:r w:rsidRPr="003E41D6">
              <w:rPr>
                <w:rFonts w:cs="Arial"/>
                <w:b/>
                <w:bCs/>
                <w:color w:val="000000"/>
                <w:szCs w:val="24"/>
              </w:rPr>
              <w:t>2015/16</w:t>
            </w:r>
          </w:p>
        </w:tc>
        <w:tc>
          <w:tcPr>
            <w:tcW w:w="1540" w:type="dxa"/>
            <w:vMerge w:val="restart"/>
            <w:tcBorders>
              <w:top w:val="single" w:sz="4" w:space="0" w:color="auto"/>
              <w:left w:val="single" w:sz="4" w:space="0" w:color="auto"/>
              <w:bottom w:val="nil"/>
              <w:right w:val="single" w:sz="4" w:space="0" w:color="auto"/>
            </w:tcBorders>
            <w:shd w:val="clear" w:color="auto" w:fill="auto"/>
            <w:vAlign w:val="center"/>
            <w:hideMark/>
          </w:tcPr>
          <w:p w14:paraId="536B993E" w14:textId="77777777" w:rsidR="003E41D6" w:rsidRPr="003E41D6" w:rsidRDefault="003E41D6" w:rsidP="003E41D6">
            <w:pPr>
              <w:jc w:val="center"/>
              <w:rPr>
                <w:rFonts w:cs="Arial"/>
                <w:b/>
                <w:bCs/>
                <w:color w:val="000000"/>
                <w:szCs w:val="24"/>
              </w:rPr>
            </w:pPr>
            <w:r w:rsidRPr="003E41D6">
              <w:rPr>
                <w:rFonts w:cs="Arial"/>
                <w:b/>
                <w:bCs/>
                <w:color w:val="000000"/>
                <w:szCs w:val="24"/>
              </w:rPr>
              <w:t>30th November Actual</w:t>
            </w:r>
          </w:p>
        </w:tc>
      </w:tr>
      <w:tr w:rsidR="003E41D6" w:rsidRPr="003E41D6" w14:paraId="06798D01" w14:textId="77777777" w:rsidTr="00542C00">
        <w:trPr>
          <w:trHeight w:val="1169"/>
        </w:trPr>
        <w:tc>
          <w:tcPr>
            <w:tcW w:w="6679" w:type="dxa"/>
            <w:tcBorders>
              <w:top w:val="nil"/>
              <w:left w:val="single" w:sz="4" w:space="0" w:color="auto"/>
              <w:bottom w:val="single" w:sz="4" w:space="0" w:color="auto"/>
              <w:right w:val="single" w:sz="4" w:space="0" w:color="auto"/>
            </w:tcBorders>
            <w:shd w:val="clear" w:color="auto" w:fill="auto"/>
            <w:vAlign w:val="bottom"/>
            <w:hideMark/>
          </w:tcPr>
          <w:p w14:paraId="5318E902" w14:textId="77777777" w:rsidR="003E41D6" w:rsidRPr="003E41D6" w:rsidRDefault="003E41D6" w:rsidP="003E41D6">
            <w:pPr>
              <w:rPr>
                <w:rFonts w:cs="Arial"/>
                <w:color w:val="000000"/>
                <w:szCs w:val="24"/>
              </w:rPr>
            </w:pPr>
            <w:r w:rsidRPr="003E41D6">
              <w:rPr>
                <w:rFonts w:cs="Arial"/>
                <w:color w:val="000000"/>
                <w:szCs w:val="24"/>
              </w:rPr>
              <w:t>The Operational Boundary is a prudent estimate of debt but no provision for unusual cash movements. It represents the estimated maximum external debt arising as a consequence of the County Council's current plans.</w:t>
            </w:r>
          </w:p>
        </w:tc>
        <w:tc>
          <w:tcPr>
            <w:tcW w:w="1054" w:type="dxa"/>
            <w:vMerge/>
            <w:tcBorders>
              <w:top w:val="single" w:sz="4" w:space="0" w:color="auto"/>
              <w:left w:val="nil"/>
              <w:bottom w:val="single" w:sz="4" w:space="0" w:color="auto"/>
              <w:right w:val="single" w:sz="4" w:space="0" w:color="auto"/>
            </w:tcBorders>
            <w:vAlign w:val="center"/>
            <w:hideMark/>
          </w:tcPr>
          <w:p w14:paraId="7DAFC485" w14:textId="77777777" w:rsidR="003E41D6" w:rsidRPr="003E41D6" w:rsidRDefault="003E41D6" w:rsidP="003E41D6">
            <w:pPr>
              <w:rPr>
                <w:rFonts w:cs="Arial"/>
                <w:b/>
                <w:bCs/>
                <w:color w:val="000000"/>
                <w:szCs w:val="24"/>
              </w:rPr>
            </w:pPr>
          </w:p>
        </w:tc>
        <w:tc>
          <w:tcPr>
            <w:tcW w:w="1540" w:type="dxa"/>
            <w:vMerge/>
            <w:tcBorders>
              <w:top w:val="single" w:sz="4" w:space="0" w:color="auto"/>
              <w:left w:val="single" w:sz="4" w:space="0" w:color="auto"/>
              <w:bottom w:val="nil"/>
              <w:right w:val="single" w:sz="4" w:space="0" w:color="auto"/>
            </w:tcBorders>
            <w:vAlign w:val="center"/>
            <w:hideMark/>
          </w:tcPr>
          <w:p w14:paraId="5B131781" w14:textId="77777777" w:rsidR="003E41D6" w:rsidRPr="003E41D6" w:rsidRDefault="003E41D6" w:rsidP="003E41D6">
            <w:pPr>
              <w:rPr>
                <w:rFonts w:cs="Arial"/>
                <w:b/>
                <w:bCs/>
                <w:color w:val="000000"/>
                <w:szCs w:val="24"/>
              </w:rPr>
            </w:pPr>
          </w:p>
        </w:tc>
      </w:tr>
      <w:tr w:rsidR="003E41D6" w:rsidRPr="003E41D6" w14:paraId="641A3945" w14:textId="77777777" w:rsidTr="00542C00">
        <w:trPr>
          <w:trHeight w:val="288"/>
        </w:trPr>
        <w:tc>
          <w:tcPr>
            <w:tcW w:w="6679" w:type="dxa"/>
            <w:tcBorders>
              <w:top w:val="nil"/>
              <w:left w:val="single" w:sz="4" w:space="0" w:color="auto"/>
              <w:bottom w:val="single" w:sz="4" w:space="0" w:color="auto"/>
              <w:right w:val="single" w:sz="4" w:space="0" w:color="auto"/>
            </w:tcBorders>
            <w:shd w:val="clear" w:color="auto" w:fill="auto"/>
            <w:noWrap/>
            <w:vAlign w:val="center"/>
            <w:hideMark/>
          </w:tcPr>
          <w:p w14:paraId="00230A60" w14:textId="77777777" w:rsidR="003E41D6" w:rsidRPr="003E41D6" w:rsidRDefault="003E41D6" w:rsidP="003E41D6">
            <w:pPr>
              <w:rPr>
                <w:rFonts w:cs="Arial"/>
                <w:b/>
                <w:bCs/>
                <w:color w:val="000000"/>
                <w:szCs w:val="24"/>
              </w:rPr>
            </w:pPr>
            <w:r w:rsidRPr="003E41D6">
              <w:rPr>
                <w:rFonts w:cs="Arial"/>
                <w:b/>
                <w:bCs/>
                <w:color w:val="000000"/>
                <w:szCs w:val="24"/>
              </w:rPr>
              <w:t> </w:t>
            </w:r>
          </w:p>
        </w:tc>
        <w:tc>
          <w:tcPr>
            <w:tcW w:w="1054" w:type="dxa"/>
            <w:tcBorders>
              <w:top w:val="nil"/>
              <w:left w:val="nil"/>
              <w:bottom w:val="single" w:sz="4" w:space="0" w:color="auto"/>
              <w:right w:val="single" w:sz="4" w:space="0" w:color="auto"/>
            </w:tcBorders>
            <w:shd w:val="clear" w:color="auto" w:fill="auto"/>
            <w:noWrap/>
            <w:vAlign w:val="center"/>
            <w:hideMark/>
          </w:tcPr>
          <w:p w14:paraId="5B51C264" w14:textId="77777777" w:rsidR="003E41D6" w:rsidRPr="003E41D6" w:rsidRDefault="003E41D6" w:rsidP="003E41D6">
            <w:pPr>
              <w:jc w:val="center"/>
              <w:rPr>
                <w:rFonts w:cs="Arial"/>
                <w:b/>
                <w:bCs/>
                <w:color w:val="000000"/>
                <w:szCs w:val="24"/>
              </w:rPr>
            </w:pPr>
            <w:r w:rsidRPr="003E41D6">
              <w:rPr>
                <w:rFonts w:cs="Arial"/>
                <w:b/>
                <w:bCs/>
                <w:color w:val="000000"/>
                <w:szCs w:val="24"/>
              </w:rPr>
              <w:t>£m</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A9B5509" w14:textId="77777777" w:rsidR="003E41D6" w:rsidRPr="003E41D6" w:rsidRDefault="003E41D6" w:rsidP="003E41D6">
            <w:pPr>
              <w:jc w:val="center"/>
              <w:rPr>
                <w:rFonts w:cs="Arial"/>
                <w:b/>
                <w:bCs/>
                <w:color w:val="000000"/>
                <w:szCs w:val="24"/>
              </w:rPr>
            </w:pPr>
            <w:r w:rsidRPr="003E41D6">
              <w:rPr>
                <w:rFonts w:cs="Arial"/>
                <w:b/>
                <w:bCs/>
                <w:color w:val="000000"/>
                <w:szCs w:val="24"/>
              </w:rPr>
              <w:t>£m</w:t>
            </w:r>
          </w:p>
        </w:tc>
      </w:tr>
      <w:tr w:rsidR="003E41D6" w:rsidRPr="003E41D6" w14:paraId="60D74494" w14:textId="77777777" w:rsidTr="00542C00">
        <w:trPr>
          <w:trHeight w:val="288"/>
        </w:trPr>
        <w:tc>
          <w:tcPr>
            <w:tcW w:w="6679" w:type="dxa"/>
            <w:tcBorders>
              <w:top w:val="nil"/>
              <w:left w:val="single" w:sz="4" w:space="0" w:color="auto"/>
              <w:bottom w:val="single" w:sz="4" w:space="0" w:color="auto"/>
              <w:right w:val="single" w:sz="4" w:space="0" w:color="auto"/>
            </w:tcBorders>
            <w:shd w:val="clear" w:color="auto" w:fill="auto"/>
            <w:noWrap/>
            <w:vAlign w:val="center"/>
            <w:hideMark/>
          </w:tcPr>
          <w:p w14:paraId="5D1407B2" w14:textId="77777777" w:rsidR="003E41D6" w:rsidRPr="003E41D6" w:rsidRDefault="003E41D6" w:rsidP="003E41D6">
            <w:pPr>
              <w:rPr>
                <w:rFonts w:cs="Arial"/>
                <w:color w:val="000000"/>
                <w:szCs w:val="24"/>
              </w:rPr>
            </w:pPr>
            <w:r w:rsidRPr="003E41D6">
              <w:rPr>
                <w:rFonts w:cs="Arial"/>
                <w:color w:val="000000"/>
                <w:szCs w:val="24"/>
              </w:rPr>
              <w:t>Borrowing</w:t>
            </w:r>
          </w:p>
        </w:tc>
        <w:tc>
          <w:tcPr>
            <w:tcW w:w="1054" w:type="dxa"/>
            <w:tcBorders>
              <w:top w:val="nil"/>
              <w:left w:val="nil"/>
              <w:bottom w:val="single" w:sz="4" w:space="0" w:color="auto"/>
              <w:right w:val="single" w:sz="4" w:space="0" w:color="auto"/>
            </w:tcBorders>
            <w:shd w:val="clear" w:color="auto" w:fill="auto"/>
            <w:noWrap/>
            <w:vAlign w:val="center"/>
            <w:hideMark/>
          </w:tcPr>
          <w:p w14:paraId="64782CA0" w14:textId="77777777" w:rsidR="003E41D6" w:rsidRPr="003E41D6" w:rsidRDefault="003E41D6" w:rsidP="003E41D6">
            <w:pPr>
              <w:jc w:val="center"/>
              <w:rPr>
                <w:rFonts w:cs="Arial"/>
                <w:color w:val="000000"/>
                <w:szCs w:val="24"/>
              </w:rPr>
            </w:pPr>
            <w:r w:rsidRPr="003E41D6">
              <w:rPr>
                <w:rFonts w:cs="Arial"/>
                <w:color w:val="000000"/>
                <w:szCs w:val="24"/>
              </w:rPr>
              <w:t>1,250</w:t>
            </w:r>
          </w:p>
        </w:tc>
        <w:tc>
          <w:tcPr>
            <w:tcW w:w="1540" w:type="dxa"/>
            <w:tcBorders>
              <w:top w:val="nil"/>
              <w:left w:val="nil"/>
              <w:bottom w:val="single" w:sz="4" w:space="0" w:color="auto"/>
              <w:right w:val="single" w:sz="4" w:space="0" w:color="auto"/>
            </w:tcBorders>
            <w:shd w:val="clear" w:color="auto" w:fill="auto"/>
            <w:noWrap/>
            <w:vAlign w:val="center"/>
            <w:hideMark/>
          </w:tcPr>
          <w:p w14:paraId="7154E4B7" w14:textId="77777777" w:rsidR="003E41D6" w:rsidRPr="003E41D6" w:rsidRDefault="003E41D6" w:rsidP="003E41D6">
            <w:pPr>
              <w:jc w:val="center"/>
              <w:rPr>
                <w:rFonts w:cs="Arial"/>
                <w:color w:val="000000"/>
                <w:szCs w:val="24"/>
              </w:rPr>
            </w:pPr>
            <w:r w:rsidRPr="003E41D6">
              <w:rPr>
                <w:rFonts w:cs="Arial"/>
                <w:color w:val="000000"/>
                <w:szCs w:val="24"/>
              </w:rPr>
              <w:t>1,120</w:t>
            </w:r>
          </w:p>
        </w:tc>
      </w:tr>
      <w:tr w:rsidR="003E41D6" w:rsidRPr="003E41D6" w14:paraId="7C6E95F5" w14:textId="77777777" w:rsidTr="00542C00">
        <w:trPr>
          <w:trHeight w:val="288"/>
        </w:trPr>
        <w:tc>
          <w:tcPr>
            <w:tcW w:w="6679" w:type="dxa"/>
            <w:tcBorders>
              <w:top w:val="nil"/>
              <w:left w:val="single" w:sz="4" w:space="0" w:color="auto"/>
              <w:bottom w:val="single" w:sz="4" w:space="0" w:color="auto"/>
              <w:right w:val="single" w:sz="4" w:space="0" w:color="auto"/>
            </w:tcBorders>
            <w:shd w:val="clear" w:color="auto" w:fill="auto"/>
            <w:noWrap/>
            <w:vAlign w:val="center"/>
            <w:hideMark/>
          </w:tcPr>
          <w:p w14:paraId="3D6EC499" w14:textId="77777777" w:rsidR="003E41D6" w:rsidRPr="003E41D6" w:rsidRDefault="003E41D6" w:rsidP="003E41D6">
            <w:pPr>
              <w:rPr>
                <w:rFonts w:cs="Arial"/>
                <w:color w:val="000000"/>
                <w:szCs w:val="24"/>
              </w:rPr>
            </w:pPr>
            <w:r w:rsidRPr="003E41D6">
              <w:rPr>
                <w:rFonts w:cs="Arial"/>
                <w:color w:val="000000"/>
                <w:szCs w:val="24"/>
              </w:rPr>
              <w:t>Other long term liabilities (PFI schemes)</w:t>
            </w:r>
          </w:p>
        </w:tc>
        <w:tc>
          <w:tcPr>
            <w:tcW w:w="1054" w:type="dxa"/>
            <w:tcBorders>
              <w:top w:val="nil"/>
              <w:left w:val="nil"/>
              <w:bottom w:val="single" w:sz="4" w:space="0" w:color="auto"/>
              <w:right w:val="single" w:sz="4" w:space="0" w:color="auto"/>
            </w:tcBorders>
            <w:shd w:val="clear" w:color="auto" w:fill="auto"/>
            <w:noWrap/>
            <w:vAlign w:val="center"/>
            <w:hideMark/>
          </w:tcPr>
          <w:p w14:paraId="5D78EB76" w14:textId="77777777" w:rsidR="003E41D6" w:rsidRPr="003E41D6" w:rsidRDefault="003E41D6" w:rsidP="003E41D6">
            <w:pPr>
              <w:jc w:val="center"/>
              <w:rPr>
                <w:rFonts w:cs="Arial"/>
                <w:color w:val="000000"/>
                <w:szCs w:val="24"/>
              </w:rPr>
            </w:pPr>
            <w:r w:rsidRPr="003E41D6">
              <w:rPr>
                <w:rFonts w:cs="Arial"/>
                <w:color w:val="000000"/>
                <w:szCs w:val="24"/>
              </w:rPr>
              <w:t>200</w:t>
            </w:r>
          </w:p>
        </w:tc>
        <w:tc>
          <w:tcPr>
            <w:tcW w:w="1540" w:type="dxa"/>
            <w:tcBorders>
              <w:top w:val="nil"/>
              <w:left w:val="nil"/>
              <w:bottom w:val="single" w:sz="4" w:space="0" w:color="auto"/>
              <w:right w:val="single" w:sz="4" w:space="0" w:color="auto"/>
            </w:tcBorders>
            <w:shd w:val="clear" w:color="auto" w:fill="auto"/>
            <w:noWrap/>
            <w:vAlign w:val="center"/>
            <w:hideMark/>
          </w:tcPr>
          <w:p w14:paraId="02EDEB75" w14:textId="77777777" w:rsidR="003E41D6" w:rsidRPr="003E41D6" w:rsidRDefault="003E41D6" w:rsidP="003E41D6">
            <w:pPr>
              <w:jc w:val="center"/>
              <w:rPr>
                <w:rFonts w:cs="Arial"/>
                <w:color w:val="000000"/>
                <w:szCs w:val="24"/>
              </w:rPr>
            </w:pPr>
            <w:r w:rsidRPr="003E41D6">
              <w:rPr>
                <w:rFonts w:cs="Arial"/>
                <w:color w:val="000000"/>
                <w:szCs w:val="24"/>
              </w:rPr>
              <w:t>172</w:t>
            </w:r>
          </w:p>
        </w:tc>
      </w:tr>
      <w:tr w:rsidR="003E41D6" w:rsidRPr="003E41D6" w14:paraId="1E347154" w14:textId="77777777" w:rsidTr="00542C00">
        <w:trPr>
          <w:trHeight w:val="303"/>
        </w:trPr>
        <w:tc>
          <w:tcPr>
            <w:tcW w:w="6679" w:type="dxa"/>
            <w:tcBorders>
              <w:top w:val="nil"/>
              <w:left w:val="single" w:sz="4" w:space="0" w:color="auto"/>
              <w:bottom w:val="single" w:sz="4" w:space="0" w:color="auto"/>
              <w:right w:val="single" w:sz="4" w:space="0" w:color="auto"/>
            </w:tcBorders>
            <w:shd w:val="clear" w:color="auto" w:fill="auto"/>
            <w:noWrap/>
            <w:vAlign w:val="center"/>
            <w:hideMark/>
          </w:tcPr>
          <w:p w14:paraId="397BC986" w14:textId="77777777" w:rsidR="003E41D6" w:rsidRPr="003E41D6" w:rsidRDefault="003E41D6" w:rsidP="003E41D6">
            <w:pPr>
              <w:rPr>
                <w:rFonts w:cs="Arial"/>
                <w:b/>
                <w:bCs/>
                <w:color w:val="000000"/>
                <w:szCs w:val="24"/>
              </w:rPr>
            </w:pPr>
            <w:r w:rsidRPr="003E41D6">
              <w:rPr>
                <w:rFonts w:cs="Arial"/>
                <w:b/>
                <w:bCs/>
                <w:color w:val="000000"/>
                <w:szCs w:val="24"/>
              </w:rPr>
              <w:t>TOTAL</w:t>
            </w:r>
          </w:p>
        </w:tc>
        <w:tc>
          <w:tcPr>
            <w:tcW w:w="1054" w:type="dxa"/>
            <w:tcBorders>
              <w:top w:val="nil"/>
              <w:left w:val="nil"/>
              <w:bottom w:val="single" w:sz="4" w:space="0" w:color="auto"/>
              <w:right w:val="single" w:sz="4" w:space="0" w:color="auto"/>
            </w:tcBorders>
            <w:shd w:val="clear" w:color="auto" w:fill="auto"/>
            <w:noWrap/>
            <w:vAlign w:val="center"/>
            <w:hideMark/>
          </w:tcPr>
          <w:p w14:paraId="5CEEEB46" w14:textId="77777777" w:rsidR="003E41D6" w:rsidRPr="003E41D6" w:rsidRDefault="003E41D6" w:rsidP="003E41D6">
            <w:pPr>
              <w:jc w:val="center"/>
              <w:rPr>
                <w:rFonts w:cs="Arial"/>
                <w:b/>
                <w:bCs/>
                <w:color w:val="000000"/>
                <w:szCs w:val="24"/>
              </w:rPr>
            </w:pPr>
            <w:r w:rsidRPr="003E41D6">
              <w:rPr>
                <w:rFonts w:cs="Arial"/>
                <w:b/>
                <w:bCs/>
                <w:color w:val="000000"/>
                <w:szCs w:val="24"/>
              </w:rPr>
              <w:t>1,450</w:t>
            </w:r>
          </w:p>
        </w:tc>
        <w:tc>
          <w:tcPr>
            <w:tcW w:w="1540" w:type="dxa"/>
            <w:tcBorders>
              <w:top w:val="nil"/>
              <w:left w:val="nil"/>
              <w:bottom w:val="single" w:sz="4" w:space="0" w:color="auto"/>
              <w:right w:val="single" w:sz="4" w:space="0" w:color="auto"/>
            </w:tcBorders>
            <w:shd w:val="clear" w:color="auto" w:fill="auto"/>
            <w:noWrap/>
            <w:vAlign w:val="center"/>
            <w:hideMark/>
          </w:tcPr>
          <w:p w14:paraId="54C4D537" w14:textId="77777777" w:rsidR="003E41D6" w:rsidRPr="003E41D6" w:rsidRDefault="003E41D6" w:rsidP="003E41D6">
            <w:pPr>
              <w:jc w:val="center"/>
              <w:rPr>
                <w:rFonts w:cs="Arial"/>
                <w:b/>
                <w:bCs/>
                <w:color w:val="000000"/>
                <w:szCs w:val="24"/>
              </w:rPr>
            </w:pPr>
            <w:r w:rsidRPr="003E41D6">
              <w:rPr>
                <w:rFonts w:cs="Arial"/>
                <w:b/>
                <w:bCs/>
                <w:color w:val="000000"/>
                <w:szCs w:val="24"/>
              </w:rPr>
              <w:t>1,292</w:t>
            </w:r>
          </w:p>
        </w:tc>
      </w:tr>
      <w:tr w:rsidR="003E41D6" w:rsidRPr="003E41D6" w14:paraId="02334F3F" w14:textId="77777777" w:rsidTr="00542C00">
        <w:trPr>
          <w:trHeight w:val="288"/>
        </w:trPr>
        <w:tc>
          <w:tcPr>
            <w:tcW w:w="6679" w:type="dxa"/>
            <w:tcBorders>
              <w:top w:val="nil"/>
              <w:left w:val="nil"/>
              <w:bottom w:val="nil"/>
              <w:right w:val="nil"/>
            </w:tcBorders>
            <w:shd w:val="clear" w:color="auto" w:fill="auto"/>
            <w:noWrap/>
            <w:vAlign w:val="bottom"/>
            <w:hideMark/>
          </w:tcPr>
          <w:p w14:paraId="5CEC6EE4" w14:textId="77777777" w:rsidR="003E41D6" w:rsidRPr="003E41D6" w:rsidRDefault="003E41D6" w:rsidP="003E41D6">
            <w:pPr>
              <w:jc w:val="center"/>
              <w:rPr>
                <w:rFonts w:cs="Arial"/>
                <w:b/>
                <w:bCs/>
                <w:color w:val="000000"/>
                <w:szCs w:val="24"/>
              </w:rPr>
            </w:pPr>
          </w:p>
        </w:tc>
        <w:tc>
          <w:tcPr>
            <w:tcW w:w="1054" w:type="dxa"/>
            <w:tcBorders>
              <w:top w:val="nil"/>
              <w:left w:val="nil"/>
              <w:bottom w:val="nil"/>
              <w:right w:val="nil"/>
            </w:tcBorders>
            <w:shd w:val="clear" w:color="auto" w:fill="auto"/>
            <w:noWrap/>
            <w:vAlign w:val="bottom"/>
            <w:hideMark/>
          </w:tcPr>
          <w:p w14:paraId="756716B0" w14:textId="77777777" w:rsidR="003E41D6" w:rsidRPr="003E41D6" w:rsidRDefault="003E41D6" w:rsidP="003E41D6">
            <w:pPr>
              <w:rPr>
                <w:rFonts w:ascii="Times New Roman" w:hAnsi="Times New Roman"/>
                <w:sz w:val="20"/>
              </w:rPr>
            </w:pPr>
          </w:p>
        </w:tc>
        <w:tc>
          <w:tcPr>
            <w:tcW w:w="1540" w:type="dxa"/>
            <w:tcBorders>
              <w:top w:val="nil"/>
              <w:left w:val="nil"/>
              <w:bottom w:val="nil"/>
              <w:right w:val="nil"/>
            </w:tcBorders>
            <w:shd w:val="clear" w:color="auto" w:fill="auto"/>
            <w:noWrap/>
            <w:vAlign w:val="bottom"/>
            <w:hideMark/>
          </w:tcPr>
          <w:p w14:paraId="0EDE536E" w14:textId="77777777" w:rsidR="003E41D6" w:rsidRPr="003E41D6" w:rsidRDefault="003E41D6" w:rsidP="003E41D6">
            <w:pPr>
              <w:rPr>
                <w:rFonts w:ascii="Times New Roman" w:hAnsi="Times New Roman"/>
                <w:sz w:val="20"/>
              </w:rPr>
            </w:pPr>
          </w:p>
        </w:tc>
      </w:tr>
      <w:tr w:rsidR="003E41D6" w:rsidRPr="003E41D6" w14:paraId="21264900" w14:textId="77777777" w:rsidTr="00542C00">
        <w:trPr>
          <w:trHeight w:val="288"/>
        </w:trPr>
        <w:tc>
          <w:tcPr>
            <w:tcW w:w="6679" w:type="dxa"/>
            <w:tcBorders>
              <w:top w:val="nil"/>
              <w:left w:val="nil"/>
              <w:bottom w:val="nil"/>
              <w:right w:val="nil"/>
            </w:tcBorders>
            <w:shd w:val="clear" w:color="auto" w:fill="auto"/>
            <w:noWrap/>
            <w:vAlign w:val="bottom"/>
            <w:hideMark/>
          </w:tcPr>
          <w:p w14:paraId="0573E4C7" w14:textId="77777777" w:rsidR="003E41D6" w:rsidRPr="003E41D6" w:rsidRDefault="003E41D6" w:rsidP="003E41D6">
            <w:pPr>
              <w:rPr>
                <w:rFonts w:ascii="Times New Roman" w:hAnsi="Times New Roman"/>
                <w:sz w:val="20"/>
              </w:rPr>
            </w:pPr>
          </w:p>
        </w:tc>
        <w:tc>
          <w:tcPr>
            <w:tcW w:w="1054" w:type="dxa"/>
            <w:tcBorders>
              <w:top w:val="nil"/>
              <w:left w:val="nil"/>
              <w:bottom w:val="nil"/>
              <w:right w:val="nil"/>
            </w:tcBorders>
            <w:shd w:val="clear" w:color="auto" w:fill="auto"/>
            <w:noWrap/>
            <w:vAlign w:val="bottom"/>
            <w:hideMark/>
          </w:tcPr>
          <w:p w14:paraId="4A1C654F" w14:textId="77777777" w:rsidR="003E41D6" w:rsidRPr="003E41D6" w:rsidRDefault="003E41D6" w:rsidP="003E41D6">
            <w:pPr>
              <w:rPr>
                <w:rFonts w:ascii="Times New Roman" w:hAnsi="Times New Roman"/>
                <w:sz w:val="20"/>
              </w:rPr>
            </w:pPr>
          </w:p>
        </w:tc>
        <w:tc>
          <w:tcPr>
            <w:tcW w:w="1540" w:type="dxa"/>
            <w:tcBorders>
              <w:top w:val="nil"/>
              <w:left w:val="nil"/>
              <w:bottom w:val="nil"/>
              <w:right w:val="nil"/>
            </w:tcBorders>
            <w:shd w:val="clear" w:color="auto" w:fill="auto"/>
            <w:noWrap/>
            <w:vAlign w:val="bottom"/>
            <w:hideMark/>
          </w:tcPr>
          <w:p w14:paraId="3E676F51" w14:textId="77777777" w:rsidR="003E41D6" w:rsidRPr="003E41D6" w:rsidRDefault="003E41D6" w:rsidP="003E41D6">
            <w:pPr>
              <w:rPr>
                <w:rFonts w:ascii="Times New Roman" w:hAnsi="Times New Roman"/>
                <w:sz w:val="20"/>
              </w:rPr>
            </w:pPr>
          </w:p>
        </w:tc>
      </w:tr>
      <w:tr w:rsidR="003E41D6" w:rsidRPr="003E41D6" w14:paraId="2275976C" w14:textId="77777777" w:rsidTr="00542C00">
        <w:trPr>
          <w:trHeight w:val="288"/>
        </w:trPr>
        <w:tc>
          <w:tcPr>
            <w:tcW w:w="6679" w:type="dxa"/>
            <w:tcBorders>
              <w:top w:val="nil"/>
              <w:left w:val="nil"/>
              <w:bottom w:val="nil"/>
              <w:right w:val="nil"/>
            </w:tcBorders>
            <w:shd w:val="clear" w:color="auto" w:fill="auto"/>
            <w:noWrap/>
            <w:vAlign w:val="bottom"/>
            <w:hideMark/>
          </w:tcPr>
          <w:p w14:paraId="54CB3EEB" w14:textId="77777777" w:rsidR="003E41D6" w:rsidRPr="003E41D6" w:rsidRDefault="003E41D6" w:rsidP="003E41D6">
            <w:pPr>
              <w:rPr>
                <w:rFonts w:ascii="Times New Roman" w:hAnsi="Times New Roman"/>
                <w:sz w:val="20"/>
              </w:rPr>
            </w:pPr>
          </w:p>
        </w:tc>
        <w:tc>
          <w:tcPr>
            <w:tcW w:w="1054" w:type="dxa"/>
            <w:tcBorders>
              <w:top w:val="nil"/>
              <w:left w:val="nil"/>
              <w:bottom w:val="nil"/>
              <w:right w:val="nil"/>
            </w:tcBorders>
            <w:shd w:val="clear" w:color="auto" w:fill="auto"/>
            <w:noWrap/>
            <w:vAlign w:val="bottom"/>
            <w:hideMark/>
          </w:tcPr>
          <w:p w14:paraId="1439A6E0" w14:textId="77777777" w:rsidR="003E41D6" w:rsidRPr="003E41D6" w:rsidRDefault="003E41D6" w:rsidP="003E41D6">
            <w:pPr>
              <w:rPr>
                <w:rFonts w:ascii="Times New Roman" w:hAnsi="Times New Roman"/>
                <w:sz w:val="20"/>
              </w:rPr>
            </w:pPr>
          </w:p>
        </w:tc>
        <w:tc>
          <w:tcPr>
            <w:tcW w:w="1540" w:type="dxa"/>
            <w:tcBorders>
              <w:top w:val="nil"/>
              <w:left w:val="nil"/>
              <w:bottom w:val="nil"/>
              <w:right w:val="nil"/>
            </w:tcBorders>
            <w:shd w:val="clear" w:color="auto" w:fill="auto"/>
            <w:noWrap/>
            <w:vAlign w:val="bottom"/>
            <w:hideMark/>
          </w:tcPr>
          <w:p w14:paraId="02C38944" w14:textId="77777777" w:rsidR="003E41D6" w:rsidRPr="003E41D6" w:rsidRDefault="003E41D6" w:rsidP="003E41D6">
            <w:pPr>
              <w:rPr>
                <w:rFonts w:ascii="Times New Roman" w:hAnsi="Times New Roman"/>
                <w:sz w:val="20"/>
              </w:rPr>
            </w:pPr>
          </w:p>
        </w:tc>
      </w:tr>
      <w:tr w:rsidR="003E41D6" w:rsidRPr="003E41D6" w14:paraId="41BE893C" w14:textId="77777777" w:rsidTr="00542C00">
        <w:trPr>
          <w:trHeight w:val="288"/>
        </w:trPr>
        <w:tc>
          <w:tcPr>
            <w:tcW w:w="6679" w:type="dxa"/>
            <w:tcBorders>
              <w:top w:val="single" w:sz="4" w:space="0" w:color="auto"/>
              <w:left w:val="single" w:sz="4" w:space="0" w:color="auto"/>
              <w:bottom w:val="nil"/>
              <w:right w:val="single" w:sz="4" w:space="0" w:color="auto"/>
            </w:tcBorders>
            <w:shd w:val="clear" w:color="auto" w:fill="auto"/>
            <w:vAlign w:val="center"/>
            <w:hideMark/>
          </w:tcPr>
          <w:p w14:paraId="143EDA0A" w14:textId="77777777" w:rsidR="003E41D6" w:rsidRPr="003E41D6" w:rsidRDefault="003E41D6" w:rsidP="003E41D6">
            <w:pPr>
              <w:rPr>
                <w:rFonts w:cs="Arial"/>
                <w:b/>
                <w:bCs/>
                <w:color w:val="000000"/>
                <w:szCs w:val="24"/>
              </w:rPr>
            </w:pPr>
            <w:r w:rsidRPr="003E41D6">
              <w:rPr>
                <w:rFonts w:cs="Arial"/>
                <w:b/>
                <w:bCs/>
                <w:color w:val="000000"/>
                <w:szCs w:val="24"/>
              </w:rPr>
              <w:t>4. Capital Financing Requirement to Gross Debt</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F66E8" w14:textId="77777777" w:rsidR="003E41D6" w:rsidRPr="003E41D6" w:rsidRDefault="003E41D6" w:rsidP="003E41D6">
            <w:pPr>
              <w:jc w:val="center"/>
              <w:rPr>
                <w:rFonts w:cs="Arial"/>
                <w:b/>
                <w:bCs/>
                <w:color w:val="000000"/>
                <w:szCs w:val="24"/>
              </w:rPr>
            </w:pPr>
            <w:r w:rsidRPr="003E41D6">
              <w:rPr>
                <w:rFonts w:cs="Arial"/>
                <w:b/>
                <w:bCs/>
                <w:color w:val="000000"/>
                <w:szCs w:val="24"/>
              </w:rPr>
              <w:t>2015/16</w:t>
            </w:r>
          </w:p>
        </w:tc>
        <w:tc>
          <w:tcPr>
            <w:tcW w:w="1540" w:type="dxa"/>
            <w:vMerge w:val="restart"/>
            <w:tcBorders>
              <w:top w:val="single" w:sz="4" w:space="0" w:color="auto"/>
              <w:left w:val="single" w:sz="4" w:space="0" w:color="auto"/>
              <w:bottom w:val="nil"/>
              <w:right w:val="single" w:sz="4" w:space="0" w:color="auto"/>
            </w:tcBorders>
            <w:shd w:val="clear" w:color="auto" w:fill="auto"/>
            <w:vAlign w:val="center"/>
            <w:hideMark/>
          </w:tcPr>
          <w:p w14:paraId="7D5BB1BD" w14:textId="77777777" w:rsidR="003E41D6" w:rsidRPr="003E41D6" w:rsidRDefault="003E41D6" w:rsidP="003E41D6">
            <w:pPr>
              <w:jc w:val="center"/>
              <w:rPr>
                <w:rFonts w:cs="Arial"/>
                <w:b/>
                <w:bCs/>
                <w:color w:val="000000"/>
                <w:szCs w:val="24"/>
              </w:rPr>
            </w:pPr>
            <w:r w:rsidRPr="003E41D6">
              <w:rPr>
                <w:rFonts w:cs="Arial"/>
                <w:b/>
                <w:bCs/>
                <w:color w:val="000000"/>
                <w:szCs w:val="24"/>
              </w:rPr>
              <w:t>30th November Actual</w:t>
            </w:r>
          </w:p>
        </w:tc>
      </w:tr>
      <w:tr w:rsidR="003E41D6" w:rsidRPr="003E41D6" w14:paraId="52F4FBE4" w14:textId="77777777" w:rsidTr="00542C00">
        <w:trPr>
          <w:trHeight w:val="1746"/>
        </w:trPr>
        <w:tc>
          <w:tcPr>
            <w:tcW w:w="6679" w:type="dxa"/>
            <w:tcBorders>
              <w:top w:val="nil"/>
              <w:left w:val="single" w:sz="4" w:space="0" w:color="auto"/>
              <w:bottom w:val="single" w:sz="4" w:space="0" w:color="auto"/>
              <w:right w:val="single" w:sz="4" w:space="0" w:color="auto"/>
            </w:tcBorders>
            <w:shd w:val="clear" w:color="auto" w:fill="auto"/>
            <w:vAlign w:val="bottom"/>
            <w:hideMark/>
          </w:tcPr>
          <w:p w14:paraId="45A39A17" w14:textId="77777777" w:rsidR="003E41D6" w:rsidRPr="003E41D6" w:rsidRDefault="003E41D6" w:rsidP="003E41D6">
            <w:pPr>
              <w:rPr>
                <w:rFonts w:cs="Arial"/>
                <w:color w:val="000000"/>
                <w:szCs w:val="24"/>
              </w:rPr>
            </w:pPr>
            <w:r w:rsidRPr="003E41D6">
              <w:rPr>
                <w:rFonts w:cs="Arial"/>
                <w:color w:val="000000"/>
                <w:szCs w:val="24"/>
              </w:rPr>
              <w:t xml:space="preserve">The Capital Financing requirement is the underlying need to borrow for capital purposes. </w:t>
            </w:r>
            <w:proofErr w:type="gramStart"/>
            <w:r w:rsidRPr="003E41D6">
              <w:rPr>
                <w:rFonts w:cs="Arial"/>
                <w:color w:val="000000"/>
                <w:szCs w:val="24"/>
              </w:rPr>
              <w:t>This  is</w:t>
            </w:r>
            <w:proofErr w:type="gramEnd"/>
            <w:r w:rsidRPr="003E41D6">
              <w:rPr>
                <w:rFonts w:cs="Arial"/>
                <w:color w:val="000000"/>
                <w:szCs w:val="24"/>
              </w:rPr>
              <w:t xml:space="preserve"> the cumulative effect of past borrowing decisions and future plans. This is not the same as the actual borrowing on any one day, as day to day borrowing requirements incorporate the effect of cash flow movements relating to both capital and revenue expenditure and income.</w:t>
            </w: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305B2F49" w14:textId="77777777" w:rsidR="003E41D6" w:rsidRPr="003E41D6" w:rsidRDefault="003E41D6" w:rsidP="003E41D6">
            <w:pPr>
              <w:rPr>
                <w:rFonts w:cs="Arial"/>
                <w:b/>
                <w:bCs/>
                <w:color w:val="000000"/>
                <w:szCs w:val="24"/>
              </w:rPr>
            </w:pPr>
          </w:p>
        </w:tc>
        <w:tc>
          <w:tcPr>
            <w:tcW w:w="1540" w:type="dxa"/>
            <w:vMerge/>
            <w:tcBorders>
              <w:top w:val="single" w:sz="4" w:space="0" w:color="auto"/>
              <w:left w:val="single" w:sz="4" w:space="0" w:color="auto"/>
              <w:bottom w:val="nil"/>
              <w:right w:val="single" w:sz="4" w:space="0" w:color="auto"/>
            </w:tcBorders>
            <w:vAlign w:val="center"/>
            <w:hideMark/>
          </w:tcPr>
          <w:p w14:paraId="3531CF93" w14:textId="77777777" w:rsidR="003E41D6" w:rsidRPr="003E41D6" w:rsidRDefault="003E41D6" w:rsidP="003E41D6">
            <w:pPr>
              <w:rPr>
                <w:rFonts w:cs="Arial"/>
                <w:b/>
                <w:bCs/>
                <w:color w:val="000000"/>
                <w:szCs w:val="24"/>
              </w:rPr>
            </w:pPr>
          </w:p>
        </w:tc>
      </w:tr>
      <w:tr w:rsidR="003E41D6" w:rsidRPr="003E41D6" w14:paraId="021D5C65" w14:textId="77777777" w:rsidTr="00542C00">
        <w:trPr>
          <w:trHeight w:val="303"/>
        </w:trPr>
        <w:tc>
          <w:tcPr>
            <w:tcW w:w="6679" w:type="dxa"/>
            <w:tcBorders>
              <w:top w:val="nil"/>
              <w:left w:val="single" w:sz="4" w:space="0" w:color="auto"/>
              <w:bottom w:val="single" w:sz="4" w:space="0" w:color="auto"/>
              <w:right w:val="single" w:sz="4" w:space="0" w:color="auto"/>
            </w:tcBorders>
            <w:shd w:val="clear" w:color="auto" w:fill="auto"/>
            <w:noWrap/>
            <w:vAlign w:val="center"/>
            <w:hideMark/>
          </w:tcPr>
          <w:p w14:paraId="1B702A3B" w14:textId="77777777" w:rsidR="003E41D6" w:rsidRPr="003E41D6" w:rsidRDefault="003E41D6" w:rsidP="003E41D6">
            <w:pPr>
              <w:rPr>
                <w:rFonts w:cs="Arial"/>
                <w:b/>
                <w:bCs/>
                <w:color w:val="000000"/>
                <w:szCs w:val="24"/>
              </w:rPr>
            </w:pPr>
            <w:r w:rsidRPr="003E41D6">
              <w:rPr>
                <w:rFonts w:cs="Arial"/>
                <w:b/>
                <w:bCs/>
                <w:color w:val="000000"/>
                <w:szCs w:val="24"/>
              </w:rPr>
              <w:t> </w:t>
            </w:r>
          </w:p>
        </w:tc>
        <w:tc>
          <w:tcPr>
            <w:tcW w:w="1054" w:type="dxa"/>
            <w:tcBorders>
              <w:top w:val="nil"/>
              <w:left w:val="nil"/>
              <w:bottom w:val="single" w:sz="4" w:space="0" w:color="auto"/>
              <w:right w:val="single" w:sz="4" w:space="0" w:color="auto"/>
            </w:tcBorders>
            <w:shd w:val="clear" w:color="auto" w:fill="auto"/>
            <w:noWrap/>
            <w:vAlign w:val="center"/>
            <w:hideMark/>
          </w:tcPr>
          <w:p w14:paraId="3910C917" w14:textId="77777777" w:rsidR="003E41D6" w:rsidRPr="003E41D6" w:rsidRDefault="003E41D6" w:rsidP="003E41D6">
            <w:pPr>
              <w:jc w:val="center"/>
              <w:rPr>
                <w:rFonts w:cs="Arial"/>
                <w:b/>
                <w:bCs/>
                <w:color w:val="000000"/>
                <w:szCs w:val="24"/>
              </w:rPr>
            </w:pPr>
            <w:r w:rsidRPr="003E41D6">
              <w:rPr>
                <w:rFonts w:cs="Arial"/>
                <w:b/>
                <w:bCs/>
                <w:color w:val="000000"/>
                <w:szCs w:val="24"/>
              </w:rPr>
              <w:t>£m</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3FF3EE9" w14:textId="77777777" w:rsidR="003E41D6" w:rsidRPr="003E41D6" w:rsidRDefault="003E41D6" w:rsidP="003E41D6">
            <w:pPr>
              <w:jc w:val="center"/>
              <w:rPr>
                <w:rFonts w:cs="Arial"/>
                <w:b/>
                <w:bCs/>
                <w:color w:val="000000"/>
                <w:szCs w:val="24"/>
              </w:rPr>
            </w:pPr>
            <w:r w:rsidRPr="003E41D6">
              <w:rPr>
                <w:rFonts w:cs="Arial"/>
                <w:b/>
                <w:bCs/>
                <w:color w:val="000000"/>
                <w:szCs w:val="24"/>
              </w:rPr>
              <w:t>£m</w:t>
            </w:r>
          </w:p>
        </w:tc>
      </w:tr>
      <w:tr w:rsidR="003E41D6" w:rsidRPr="003E41D6" w14:paraId="04518B6C" w14:textId="77777777" w:rsidTr="00542C00">
        <w:trPr>
          <w:trHeight w:val="288"/>
        </w:trPr>
        <w:tc>
          <w:tcPr>
            <w:tcW w:w="6679" w:type="dxa"/>
            <w:tcBorders>
              <w:top w:val="nil"/>
              <w:left w:val="single" w:sz="4" w:space="0" w:color="auto"/>
              <w:bottom w:val="single" w:sz="4" w:space="0" w:color="auto"/>
              <w:right w:val="single" w:sz="4" w:space="0" w:color="auto"/>
            </w:tcBorders>
            <w:shd w:val="clear" w:color="auto" w:fill="auto"/>
            <w:noWrap/>
            <w:vAlign w:val="center"/>
            <w:hideMark/>
          </w:tcPr>
          <w:p w14:paraId="3B6E49CF" w14:textId="77777777" w:rsidR="003E41D6" w:rsidRPr="003E41D6" w:rsidRDefault="003E41D6" w:rsidP="003E41D6">
            <w:pPr>
              <w:rPr>
                <w:rFonts w:cs="Arial"/>
                <w:color w:val="000000"/>
                <w:szCs w:val="24"/>
              </w:rPr>
            </w:pPr>
            <w:r w:rsidRPr="003E41D6">
              <w:rPr>
                <w:rFonts w:cs="Arial"/>
                <w:color w:val="000000"/>
                <w:szCs w:val="24"/>
              </w:rPr>
              <w:t>Capital Financing Requirement</w:t>
            </w:r>
          </w:p>
        </w:tc>
        <w:tc>
          <w:tcPr>
            <w:tcW w:w="1054" w:type="dxa"/>
            <w:tcBorders>
              <w:top w:val="nil"/>
              <w:left w:val="nil"/>
              <w:bottom w:val="single" w:sz="4" w:space="0" w:color="auto"/>
              <w:right w:val="single" w:sz="4" w:space="0" w:color="auto"/>
            </w:tcBorders>
            <w:shd w:val="clear" w:color="auto" w:fill="auto"/>
            <w:noWrap/>
            <w:vAlign w:val="center"/>
            <w:hideMark/>
          </w:tcPr>
          <w:p w14:paraId="1112701B" w14:textId="77777777" w:rsidR="003E41D6" w:rsidRPr="003E41D6" w:rsidRDefault="003E41D6" w:rsidP="003E41D6">
            <w:pPr>
              <w:jc w:val="center"/>
              <w:rPr>
                <w:rFonts w:cs="Arial"/>
                <w:color w:val="000000"/>
                <w:szCs w:val="24"/>
              </w:rPr>
            </w:pPr>
            <w:r w:rsidRPr="003E41D6">
              <w:rPr>
                <w:rFonts w:cs="Arial"/>
                <w:color w:val="000000"/>
                <w:szCs w:val="24"/>
              </w:rPr>
              <w:t>861</w:t>
            </w:r>
          </w:p>
        </w:tc>
        <w:tc>
          <w:tcPr>
            <w:tcW w:w="1540" w:type="dxa"/>
            <w:tcBorders>
              <w:top w:val="nil"/>
              <w:left w:val="nil"/>
              <w:bottom w:val="single" w:sz="4" w:space="0" w:color="auto"/>
              <w:right w:val="single" w:sz="4" w:space="0" w:color="auto"/>
            </w:tcBorders>
            <w:shd w:val="clear" w:color="auto" w:fill="auto"/>
            <w:noWrap/>
            <w:vAlign w:val="center"/>
            <w:hideMark/>
          </w:tcPr>
          <w:p w14:paraId="0B63877D" w14:textId="77777777" w:rsidR="003E41D6" w:rsidRPr="003E41D6" w:rsidRDefault="003E41D6" w:rsidP="003E41D6">
            <w:pPr>
              <w:jc w:val="center"/>
              <w:rPr>
                <w:rFonts w:cs="Arial"/>
                <w:color w:val="000000"/>
                <w:szCs w:val="24"/>
              </w:rPr>
            </w:pPr>
            <w:r w:rsidRPr="003E41D6">
              <w:rPr>
                <w:rFonts w:cs="Arial"/>
                <w:color w:val="000000"/>
                <w:szCs w:val="24"/>
              </w:rPr>
              <w:t>830</w:t>
            </w:r>
          </w:p>
        </w:tc>
      </w:tr>
      <w:tr w:rsidR="003E41D6" w:rsidRPr="003E41D6" w14:paraId="73C8025D" w14:textId="77777777" w:rsidTr="00542C00">
        <w:trPr>
          <w:trHeight w:val="288"/>
        </w:trPr>
        <w:tc>
          <w:tcPr>
            <w:tcW w:w="6679" w:type="dxa"/>
            <w:tcBorders>
              <w:top w:val="nil"/>
              <w:left w:val="single" w:sz="4" w:space="0" w:color="auto"/>
              <w:bottom w:val="single" w:sz="4" w:space="0" w:color="auto"/>
              <w:right w:val="single" w:sz="4" w:space="0" w:color="auto"/>
            </w:tcBorders>
            <w:shd w:val="clear" w:color="auto" w:fill="auto"/>
            <w:noWrap/>
            <w:vAlign w:val="center"/>
            <w:hideMark/>
          </w:tcPr>
          <w:p w14:paraId="475E6CE0" w14:textId="77777777" w:rsidR="003E41D6" w:rsidRPr="003E41D6" w:rsidRDefault="003E41D6" w:rsidP="003E41D6">
            <w:pPr>
              <w:rPr>
                <w:rFonts w:cs="Arial"/>
                <w:color w:val="000000"/>
                <w:szCs w:val="24"/>
              </w:rPr>
            </w:pPr>
            <w:r w:rsidRPr="003E41D6">
              <w:rPr>
                <w:rFonts w:cs="Arial"/>
                <w:color w:val="000000"/>
                <w:szCs w:val="24"/>
              </w:rPr>
              <w:t>Estimated gross debt</w:t>
            </w:r>
          </w:p>
        </w:tc>
        <w:tc>
          <w:tcPr>
            <w:tcW w:w="1054" w:type="dxa"/>
            <w:tcBorders>
              <w:top w:val="nil"/>
              <w:left w:val="nil"/>
              <w:bottom w:val="single" w:sz="4" w:space="0" w:color="auto"/>
              <w:right w:val="single" w:sz="4" w:space="0" w:color="auto"/>
            </w:tcBorders>
            <w:shd w:val="clear" w:color="auto" w:fill="auto"/>
            <w:noWrap/>
            <w:vAlign w:val="center"/>
            <w:hideMark/>
          </w:tcPr>
          <w:p w14:paraId="0C83A186" w14:textId="77777777" w:rsidR="003E41D6" w:rsidRPr="003E41D6" w:rsidRDefault="003E41D6" w:rsidP="003E41D6">
            <w:pPr>
              <w:jc w:val="center"/>
              <w:rPr>
                <w:rFonts w:cs="Arial"/>
                <w:color w:val="000000"/>
                <w:szCs w:val="24"/>
              </w:rPr>
            </w:pPr>
            <w:r w:rsidRPr="003E41D6">
              <w:rPr>
                <w:rFonts w:cs="Arial"/>
                <w:color w:val="000000"/>
                <w:szCs w:val="24"/>
              </w:rPr>
              <w:t>1,010</w:t>
            </w:r>
          </w:p>
        </w:tc>
        <w:tc>
          <w:tcPr>
            <w:tcW w:w="1540" w:type="dxa"/>
            <w:tcBorders>
              <w:top w:val="nil"/>
              <w:left w:val="nil"/>
              <w:bottom w:val="single" w:sz="4" w:space="0" w:color="auto"/>
              <w:right w:val="single" w:sz="4" w:space="0" w:color="auto"/>
            </w:tcBorders>
            <w:shd w:val="clear" w:color="auto" w:fill="auto"/>
            <w:noWrap/>
            <w:vAlign w:val="center"/>
            <w:hideMark/>
          </w:tcPr>
          <w:p w14:paraId="30D8447B" w14:textId="77777777" w:rsidR="003E41D6" w:rsidRPr="003E41D6" w:rsidRDefault="003E41D6" w:rsidP="003E41D6">
            <w:pPr>
              <w:jc w:val="center"/>
              <w:rPr>
                <w:rFonts w:cs="Arial"/>
                <w:color w:val="000000"/>
                <w:szCs w:val="24"/>
              </w:rPr>
            </w:pPr>
            <w:r w:rsidRPr="003E41D6">
              <w:rPr>
                <w:rFonts w:cs="Arial"/>
                <w:color w:val="000000"/>
                <w:szCs w:val="24"/>
              </w:rPr>
              <w:t>1,120</w:t>
            </w:r>
          </w:p>
        </w:tc>
      </w:tr>
      <w:tr w:rsidR="003E41D6" w:rsidRPr="003E41D6" w14:paraId="05F500E2" w14:textId="77777777" w:rsidTr="00542C00">
        <w:trPr>
          <w:trHeight w:val="288"/>
        </w:trPr>
        <w:tc>
          <w:tcPr>
            <w:tcW w:w="6679" w:type="dxa"/>
            <w:tcBorders>
              <w:top w:val="nil"/>
              <w:left w:val="single" w:sz="4" w:space="0" w:color="auto"/>
              <w:bottom w:val="single" w:sz="4" w:space="0" w:color="auto"/>
              <w:right w:val="single" w:sz="4" w:space="0" w:color="auto"/>
            </w:tcBorders>
            <w:shd w:val="clear" w:color="auto" w:fill="auto"/>
            <w:noWrap/>
            <w:vAlign w:val="center"/>
            <w:hideMark/>
          </w:tcPr>
          <w:p w14:paraId="5B0FA843" w14:textId="77777777" w:rsidR="003E41D6" w:rsidRPr="003E41D6" w:rsidRDefault="003E41D6" w:rsidP="003E41D6">
            <w:pPr>
              <w:rPr>
                <w:rFonts w:cs="Arial"/>
                <w:color w:val="000000"/>
                <w:szCs w:val="24"/>
              </w:rPr>
            </w:pPr>
            <w:r w:rsidRPr="003E41D6">
              <w:rPr>
                <w:rFonts w:cs="Arial"/>
                <w:color w:val="000000"/>
                <w:szCs w:val="24"/>
              </w:rPr>
              <w:t>Debt to Capital Financing Requirements</w:t>
            </w:r>
          </w:p>
        </w:tc>
        <w:tc>
          <w:tcPr>
            <w:tcW w:w="1054" w:type="dxa"/>
            <w:tcBorders>
              <w:top w:val="nil"/>
              <w:left w:val="nil"/>
              <w:bottom w:val="single" w:sz="4" w:space="0" w:color="auto"/>
              <w:right w:val="single" w:sz="4" w:space="0" w:color="auto"/>
            </w:tcBorders>
            <w:shd w:val="clear" w:color="auto" w:fill="auto"/>
            <w:noWrap/>
            <w:vAlign w:val="center"/>
            <w:hideMark/>
          </w:tcPr>
          <w:p w14:paraId="02B70390" w14:textId="77777777" w:rsidR="003E41D6" w:rsidRPr="003E41D6" w:rsidRDefault="003E41D6" w:rsidP="003E41D6">
            <w:pPr>
              <w:jc w:val="center"/>
              <w:rPr>
                <w:rFonts w:cs="Arial"/>
                <w:color w:val="000000"/>
                <w:szCs w:val="24"/>
              </w:rPr>
            </w:pPr>
            <w:r w:rsidRPr="003E41D6">
              <w:rPr>
                <w:rFonts w:cs="Arial"/>
                <w:color w:val="000000"/>
                <w:szCs w:val="24"/>
              </w:rPr>
              <w:t>117%</w:t>
            </w:r>
          </w:p>
        </w:tc>
        <w:tc>
          <w:tcPr>
            <w:tcW w:w="1540" w:type="dxa"/>
            <w:tcBorders>
              <w:top w:val="nil"/>
              <w:left w:val="nil"/>
              <w:bottom w:val="single" w:sz="4" w:space="0" w:color="auto"/>
              <w:right w:val="single" w:sz="4" w:space="0" w:color="auto"/>
            </w:tcBorders>
            <w:shd w:val="clear" w:color="auto" w:fill="auto"/>
            <w:noWrap/>
            <w:vAlign w:val="center"/>
            <w:hideMark/>
          </w:tcPr>
          <w:p w14:paraId="42104A09" w14:textId="77777777" w:rsidR="003E41D6" w:rsidRPr="003E41D6" w:rsidRDefault="003E41D6" w:rsidP="003E41D6">
            <w:pPr>
              <w:jc w:val="center"/>
              <w:rPr>
                <w:rFonts w:cs="Arial"/>
                <w:color w:val="000000"/>
                <w:szCs w:val="24"/>
              </w:rPr>
            </w:pPr>
            <w:r w:rsidRPr="003E41D6">
              <w:rPr>
                <w:rFonts w:cs="Arial"/>
                <w:color w:val="000000"/>
                <w:szCs w:val="24"/>
              </w:rPr>
              <w:t>135%</w:t>
            </w:r>
          </w:p>
        </w:tc>
      </w:tr>
      <w:tr w:rsidR="003E41D6" w:rsidRPr="003E41D6" w14:paraId="6149D740" w14:textId="77777777" w:rsidTr="00542C00">
        <w:trPr>
          <w:trHeight w:val="288"/>
        </w:trPr>
        <w:tc>
          <w:tcPr>
            <w:tcW w:w="6679" w:type="dxa"/>
            <w:tcBorders>
              <w:top w:val="nil"/>
              <w:left w:val="nil"/>
              <w:bottom w:val="nil"/>
              <w:right w:val="nil"/>
            </w:tcBorders>
            <w:shd w:val="clear" w:color="auto" w:fill="auto"/>
            <w:noWrap/>
            <w:vAlign w:val="bottom"/>
            <w:hideMark/>
          </w:tcPr>
          <w:p w14:paraId="232F9EC4" w14:textId="77777777" w:rsidR="003E41D6" w:rsidRPr="003E41D6" w:rsidRDefault="003E41D6" w:rsidP="003E41D6">
            <w:pPr>
              <w:jc w:val="center"/>
              <w:rPr>
                <w:rFonts w:cs="Arial"/>
                <w:color w:val="000000"/>
                <w:szCs w:val="24"/>
              </w:rPr>
            </w:pPr>
          </w:p>
        </w:tc>
        <w:tc>
          <w:tcPr>
            <w:tcW w:w="1054" w:type="dxa"/>
            <w:tcBorders>
              <w:top w:val="nil"/>
              <w:left w:val="nil"/>
              <w:bottom w:val="nil"/>
              <w:right w:val="nil"/>
            </w:tcBorders>
            <w:shd w:val="clear" w:color="auto" w:fill="auto"/>
            <w:noWrap/>
            <w:vAlign w:val="bottom"/>
            <w:hideMark/>
          </w:tcPr>
          <w:p w14:paraId="74EA95AC" w14:textId="77777777" w:rsidR="003E41D6" w:rsidRPr="003E41D6" w:rsidRDefault="003E41D6" w:rsidP="003E41D6">
            <w:pPr>
              <w:rPr>
                <w:rFonts w:ascii="Times New Roman" w:hAnsi="Times New Roman"/>
                <w:sz w:val="20"/>
              </w:rPr>
            </w:pPr>
          </w:p>
        </w:tc>
        <w:tc>
          <w:tcPr>
            <w:tcW w:w="1540" w:type="dxa"/>
            <w:tcBorders>
              <w:top w:val="nil"/>
              <w:left w:val="nil"/>
              <w:bottom w:val="nil"/>
              <w:right w:val="nil"/>
            </w:tcBorders>
            <w:shd w:val="clear" w:color="auto" w:fill="auto"/>
            <w:noWrap/>
            <w:vAlign w:val="bottom"/>
            <w:hideMark/>
          </w:tcPr>
          <w:p w14:paraId="667CEAD5" w14:textId="77777777" w:rsidR="003E41D6" w:rsidRPr="003E41D6" w:rsidRDefault="003E41D6" w:rsidP="003E41D6">
            <w:pPr>
              <w:rPr>
                <w:rFonts w:ascii="Times New Roman" w:hAnsi="Times New Roman"/>
                <w:sz w:val="20"/>
              </w:rPr>
            </w:pPr>
          </w:p>
        </w:tc>
      </w:tr>
    </w:tbl>
    <w:p w14:paraId="126117DF" w14:textId="137AC12D" w:rsidR="00BA65AE" w:rsidRDefault="00542C00" w:rsidP="00F13DF5">
      <w:pPr>
        <w:jc w:val="both"/>
        <w:rPr>
          <w:rFonts w:cs="Arial"/>
          <w:szCs w:val="24"/>
        </w:rPr>
      </w:pPr>
      <w:r>
        <w:rPr>
          <w:rFonts w:cs="Arial"/>
          <w:szCs w:val="24"/>
        </w:rPr>
        <w:lastRenderedPageBreak/>
        <w:t>G</w:t>
      </w:r>
      <w:r w:rsidR="00BA65AE" w:rsidRPr="00950A7F">
        <w:rPr>
          <w:rFonts w:cs="Arial"/>
          <w:szCs w:val="24"/>
        </w:rPr>
        <w:t>ross borrowing is higher than the capital financing requirement because the shared investment scheme is accounted for as borrowing but it does not form part of the capital financial requirement calculation.</w:t>
      </w:r>
    </w:p>
    <w:p w14:paraId="1BCFF893" w14:textId="77777777" w:rsidR="00542C00" w:rsidRPr="00950A7F" w:rsidRDefault="00542C00" w:rsidP="00F13DF5">
      <w:pPr>
        <w:jc w:val="both"/>
        <w:rPr>
          <w:rFonts w:cs="Arial"/>
          <w:szCs w:val="24"/>
        </w:rPr>
      </w:pPr>
    </w:p>
    <w:p w14:paraId="31DD7D89" w14:textId="77777777" w:rsidR="00F35B3C" w:rsidRPr="00950A7F" w:rsidRDefault="00BA65AE" w:rsidP="00F13DF5">
      <w:pPr>
        <w:jc w:val="both"/>
        <w:rPr>
          <w:rFonts w:cs="Arial"/>
          <w:b/>
          <w:szCs w:val="24"/>
        </w:rPr>
      </w:pPr>
      <w:r w:rsidRPr="00950A7F">
        <w:rPr>
          <w:rFonts w:cs="Arial"/>
          <w:b/>
          <w:szCs w:val="24"/>
        </w:rPr>
        <w:t>The County Council confirms that it has complied with its Prudential Indicators for 2015/16 which were approved on 26</w:t>
      </w:r>
      <w:r w:rsidRPr="00950A7F">
        <w:rPr>
          <w:rFonts w:cs="Arial"/>
          <w:b/>
          <w:szCs w:val="24"/>
          <w:vertAlign w:val="superscript"/>
        </w:rPr>
        <w:t>th</w:t>
      </w:r>
      <w:r w:rsidRPr="00950A7F">
        <w:rPr>
          <w:rFonts w:cs="Arial"/>
          <w:b/>
          <w:szCs w:val="24"/>
        </w:rPr>
        <w:t xml:space="preserve"> February 2015 as part of the County Council's Treasury Management Strategy Statement.</w:t>
      </w:r>
    </w:p>
    <w:p w14:paraId="1925BB1A" w14:textId="77777777" w:rsidR="006C692E" w:rsidRPr="008812B8" w:rsidRDefault="006C692E" w:rsidP="00F13DF5">
      <w:pPr>
        <w:jc w:val="both"/>
        <w:rPr>
          <w:highlight w:val="yellow"/>
        </w:rPr>
      </w:pPr>
    </w:p>
    <w:tbl>
      <w:tblPr>
        <w:tblW w:w="10423" w:type="dxa"/>
        <w:tblInd w:w="-760" w:type="dxa"/>
        <w:tblLook w:val="04A0" w:firstRow="1" w:lastRow="0" w:firstColumn="1" w:lastColumn="0" w:noHBand="0" w:noVBand="1"/>
      </w:tblPr>
      <w:tblGrid>
        <w:gridCol w:w="4488"/>
        <w:gridCol w:w="811"/>
        <w:gridCol w:w="553"/>
        <w:gridCol w:w="1206"/>
        <w:gridCol w:w="316"/>
        <w:gridCol w:w="1443"/>
        <w:gridCol w:w="20"/>
        <w:gridCol w:w="1586"/>
      </w:tblGrid>
      <w:tr w:rsidR="004D73BB" w:rsidRPr="008812B8" w14:paraId="2BE31D1F" w14:textId="77777777" w:rsidTr="000A25CD">
        <w:trPr>
          <w:gridAfter w:val="1"/>
          <w:wAfter w:w="1586" w:type="dxa"/>
          <w:trHeight w:val="290"/>
        </w:trPr>
        <w:tc>
          <w:tcPr>
            <w:tcW w:w="4488" w:type="dxa"/>
            <w:tcBorders>
              <w:top w:val="nil"/>
              <w:left w:val="nil"/>
              <w:bottom w:val="nil"/>
              <w:right w:val="nil"/>
            </w:tcBorders>
            <w:shd w:val="clear" w:color="auto" w:fill="auto"/>
            <w:noWrap/>
            <w:vAlign w:val="center"/>
            <w:hideMark/>
          </w:tcPr>
          <w:p w14:paraId="57878F1D" w14:textId="77777777" w:rsidR="004D73BB" w:rsidRPr="003C645A" w:rsidRDefault="004D73BB" w:rsidP="004D73BB">
            <w:pPr>
              <w:rPr>
                <w:rFonts w:cs="Arial"/>
                <w:b/>
                <w:bCs/>
                <w:color w:val="000000"/>
                <w:szCs w:val="24"/>
                <w:u w:val="single"/>
              </w:rPr>
            </w:pPr>
            <w:r w:rsidRPr="003C645A">
              <w:rPr>
                <w:rFonts w:cs="Arial"/>
                <w:b/>
                <w:bCs/>
                <w:color w:val="000000"/>
                <w:szCs w:val="24"/>
                <w:u w:val="single"/>
              </w:rPr>
              <w:t>Treasury Management Indicators</w:t>
            </w:r>
          </w:p>
          <w:p w14:paraId="7E1336AC" w14:textId="77777777" w:rsidR="00462DFD" w:rsidRPr="008812B8" w:rsidRDefault="00462DFD" w:rsidP="004D73BB">
            <w:pPr>
              <w:rPr>
                <w:rFonts w:cs="Arial"/>
                <w:b/>
                <w:bCs/>
                <w:color w:val="000000"/>
                <w:szCs w:val="24"/>
                <w:highlight w:val="yellow"/>
                <w:u w:val="single"/>
              </w:rPr>
            </w:pPr>
          </w:p>
        </w:tc>
        <w:tc>
          <w:tcPr>
            <w:tcW w:w="1364" w:type="dxa"/>
            <w:gridSpan w:val="2"/>
            <w:tcBorders>
              <w:top w:val="nil"/>
              <w:left w:val="nil"/>
              <w:bottom w:val="nil"/>
              <w:right w:val="nil"/>
            </w:tcBorders>
            <w:shd w:val="clear" w:color="auto" w:fill="auto"/>
            <w:noWrap/>
            <w:vAlign w:val="center"/>
            <w:hideMark/>
          </w:tcPr>
          <w:p w14:paraId="422556AD" w14:textId="77777777" w:rsidR="004D73BB" w:rsidRPr="008812B8" w:rsidRDefault="004D73BB" w:rsidP="004D73BB">
            <w:pPr>
              <w:rPr>
                <w:rFonts w:cs="Arial"/>
                <w:b/>
                <w:bCs/>
                <w:color w:val="000000"/>
                <w:szCs w:val="24"/>
                <w:highlight w:val="yellow"/>
                <w:u w:val="single"/>
              </w:rPr>
            </w:pPr>
          </w:p>
        </w:tc>
        <w:tc>
          <w:tcPr>
            <w:tcW w:w="1522" w:type="dxa"/>
            <w:gridSpan w:val="2"/>
            <w:tcBorders>
              <w:top w:val="nil"/>
              <w:left w:val="nil"/>
              <w:bottom w:val="nil"/>
              <w:right w:val="nil"/>
            </w:tcBorders>
            <w:shd w:val="clear" w:color="auto" w:fill="auto"/>
            <w:noWrap/>
            <w:vAlign w:val="bottom"/>
            <w:hideMark/>
          </w:tcPr>
          <w:p w14:paraId="2D7AFDCB" w14:textId="77777777" w:rsidR="004D73BB" w:rsidRPr="008812B8" w:rsidRDefault="004D73BB" w:rsidP="004D73BB">
            <w:pPr>
              <w:jc w:val="center"/>
              <w:rPr>
                <w:rFonts w:ascii="Times New Roman" w:hAnsi="Times New Roman"/>
                <w:sz w:val="20"/>
                <w:highlight w:val="yellow"/>
              </w:rPr>
            </w:pPr>
          </w:p>
        </w:tc>
        <w:tc>
          <w:tcPr>
            <w:tcW w:w="1463" w:type="dxa"/>
            <w:gridSpan w:val="2"/>
            <w:tcBorders>
              <w:top w:val="nil"/>
              <w:left w:val="nil"/>
              <w:bottom w:val="nil"/>
              <w:right w:val="nil"/>
            </w:tcBorders>
            <w:shd w:val="clear" w:color="auto" w:fill="auto"/>
            <w:noWrap/>
            <w:vAlign w:val="bottom"/>
            <w:hideMark/>
          </w:tcPr>
          <w:p w14:paraId="62673181" w14:textId="77777777" w:rsidR="004D73BB" w:rsidRPr="008812B8" w:rsidRDefault="004D73BB" w:rsidP="004D73BB">
            <w:pPr>
              <w:jc w:val="center"/>
              <w:rPr>
                <w:rFonts w:ascii="Times New Roman" w:hAnsi="Times New Roman"/>
                <w:sz w:val="20"/>
                <w:highlight w:val="yellow"/>
              </w:rPr>
            </w:pPr>
          </w:p>
        </w:tc>
      </w:tr>
      <w:tr w:rsidR="003C645A" w:rsidRPr="003C645A" w14:paraId="3EEF5D59" w14:textId="77777777" w:rsidTr="000A25CD">
        <w:trPr>
          <w:trHeight w:val="290"/>
        </w:trPr>
        <w:tc>
          <w:tcPr>
            <w:tcW w:w="7058" w:type="dxa"/>
            <w:gridSpan w:val="4"/>
            <w:tcBorders>
              <w:top w:val="single" w:sz="4" w:space="0" w:color="auto"/>
              <w:left w:val="single" w:sz="4" w:space="0" w:color="auto"/>
              <w:bottom w:val="nil"/>
              <w:right w:val="single" w:sz="4" w:space="0" w:color="auto"/>
            </w:tcBorders>
            <w:shd w:val="clear" w:color="auto" w:fill="auto"/>
            <w:noWrap/>
            <w:vAlign w:val="center"/>
            <w:hideMark/>
          </w:tcPr>
          <w:p w14:paraId="256F7875" w14:textId="77777777" w:rsidR="003C645A" w:rsidRPr="003C645A" w:rsidRDefault="003C645A" w:rsidP="003C645A">
            <w:pPr>
              <w:rPr>
                <w:rFonts w:cs="Arial"/>
                <w:b/>
                <w:bCs/>
                <w:color w:val="000000"/>
                <w:szCs w:val="24"/>
              </w:rPr>
            </w:pPr>
            <w:r w:rsidRPr="003C645A">
              <w:rPr>
                <w:rFonts w:cs="Arial"/>
                <w:b/>
                <w:bCs/>
                <w:color w:val="000000"/>
                <w:szCs w:val="24"/>
              </w:rPr>
              <w:t>1. Interest Rate exposure</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CE4D7" w14:textId="77777777" w:rsidR="003C645A" w:rsidRPr="003C645A" w:rsidRDefault="003C645A" w:rsidP="003C645A">
            <w:pPr>
              <w:jc w:val="center"/>
              <w:rPr>
                <w:rFonts w:cs="Arial"/>
                <w:b/>
                <w:bCs/>
                <w:color w:val="000000"/>
                <w:szCs w:val="24"/>
              </w:rPr>
            </w:pPr>
            <w:r w:rsidRPr="003C645A">
              <w:rPr>
                <w:rFonts w:cs="Arial"/>
                <w:b/>
                <w:bCs/>
                <w:color w:val="000000"/>
                <w:szCs w:val="24"/>
              </w:rPr>
              <w:t>Upper Limit</w:t>
            </w:r>
          </w:p>
        </w:tc>
        <w:tc>
          <w:tcPr>
            <w:tcW w:w="16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3D8C2" w14:textId="77777777" w:rsidR="003C645A" w:rsidRPr="003C645A" w:rsidRDefault="003C645A" w:rsidP="003C645A">
            <w:pPr>
              <w:jc w:val="center"/>
              <w:rPr>
                <w:rFonts w:cs="Arial"/>
                <w:b/>
                <w:bCs/>
                <w:color w:val="000000"/>
                <w:szCs w:val="24"/>
              </w:rPr>
            </w:pPr>
            <w:r w:rsidRPr="003C645A">
              <w:rPr>
                <w:rFonts w:cs="Arial"/>
                <w:b/>
                <w:bCs/>
                <w:color w:val="000000"/>
                <w:szCs w:val="24"/>
              </w:rPr>
              <w:t>Actual</w:t>
            </w:r>
          </w:p>
        </w:tc>
      </w:tr>
      <w:tr w:rsidR="003C645A" w:rsidRPr="003C645A" w14:paraId="35538E83" w14:textId="77777777" w:rsidTr="000A25CD">
        <w:trPr>
          <w:trHeight w:val="1136"/>
        </w:trPr>
        <w:tc>
          <w:tcPr>
            <w:tcW w:w="7058" w:type="dxa"/>
            <w:gridSpan w:val="4"/>
            <w:tcBorders>
              <w:top w:val="nil"/>
              <w:left w:val="single" w:sz="4" w:space="0" w:color="auto"/>
              <w:bottom w:val="single" w:sz="4" w:space="0" w:color="auto"/>
              <w:right w:val="single" w:sz="4" w:space="0" w:color="auto"/>
            </w:tcBorders>
            <w:shd w:val="clear" w:color="auto" w:fill="auto"/>
            <w:vAlign w:val="center"/>
            <w:hideMark/>
          </w:tcPr>
          <w:p w14:paraId="7FDCF51F" w14:textId="77777777" w:rsidR="003C645A" w:rsidRPr="003C645A" w:rsidRDefault="003C645A" w:rsidP="003C645A">
            <w:pPr>
              <w:rPr>
                <w:rFonts w:cs="Arial"/>
                <w:color w:val="000000"/>
                <w:szCs w:val="24"/>
              </w:rPr>
            </w:pPr>
            <w:r w:rsidRPr="003C645A">
              <w:rPr>
                <w:rFonts w:cs="Arial"/>
                <w:color w:val="000000"/>
                <w:szCs w:val="24"/>
              </w:rPr>
              <w:t>The limit measures the County Council's exposure to the risk of interest rate movements. The one year impact indicator calculates the theoretical impact on the revenue account of an immediate 1% rise in all interest rates over the course of one financial year.</w:t>
            </w: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14:paraId="5AB4A5A3" w14:textId="77777777" w:rsidR="003C645A" w:rsidRPr="003C645A" w:rsidRDefault="003C645A" w:rsidP="003C645A">
            <w:pPr>
              <w:rPr>
                <w:rFonts w:cs="Arial"/>
                <w:b/>
                <w:bCs/>
                <w:color w:val="000000"/>
                <w:szCs w:val="24"/>
              </w:rPr>
            </w:pPr>
          </w:p>
        </w:tc>
        <w:tc>
          <w:tcPr>
            <w:tcW w:w="1606" w:type="dxa"/>
            <w:gridSpan w:val="2"/>
            <w:vMerge/>
            <w:tcBorders>
              <w:top w:val="single" w:sz="4" w:space="0" w:color="auto"/>
              <w:left w:val="single" w:sz="4" w:space="0" w:color="auto"/>
              <w:bottom w:val="single" w:sz="4" w:space="0" w:color="auto"/>
              <w:right w:val="single" w:sz="4" w:space="0" w:color="auto"/>
            </w:tcBorders>
            <w:vAlign w:val="center"/>
            <w:hideMark/>
          </w:tcPr>
          <w:p w14:paraId="5F435653" w14:textId="77777777" w:rsidR="003C645A" w:rsidRPr="003C645A" w:rsidRDefault="003C645A" w:rsidP="003C645A">
            <w:pPr>
              <w:rPr>
                <w:rFonts w:cs="Arial"/>
                <w:b/>
                <w:bCs/>
                <w:color w:val="000000"/>
                <w:szCs w:val="24"/>
              </w:rPr>
            </w:pPr>
          </w:p>
        </w:tc>
      </w:tr>
      <w:tr w:rsidR="003C645A" w:rsidRPr="003C645A" w14:paraId="54A6B82B" w14:textId="77777777" w:rsidTr="000A25CD">
        <w:trPr>
          <w:trHeight w:val="290"/>
        </w:trPr>
        <w:tc>
          <w:tcPr>
            <w:tcW w:w="70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F01B1" w14:textId="77777777" w:rsidR="003C645A" w:rsidRPr="003C645A" w:rsidRDefault="003C645A" w:rsidP="003C645A">
            <w:pPr>
              <w:jc w:val="center"/>
              <w:rPr>
                <w:rFonts w:cs="Arial"/>
                <w:color w:val="000000"/>
                <w:szCs w:val="24"/>
              </w:rPr>
            </w:pPr>
            <w:r w:rsidRPr="003C645A">
              <w:rPr>
                <w:rFonts w:cs="Arial"/>
                <w:color w:val="000000"/>
                <w:szCs w:val="24"/>
              </w:rPr>
              <w:t> </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4640D5CB" w14:textId="77777777" w:rsidR="003C645A" w:rsidRPr="003C645A" w:rsidRDefault="003C645A" w:rsidP="003C645A">
            <w:pPr>
              <w:jc w:val="center"/>
              <w:rPr>
                <w:rFonts w:cs="Arial"/>
                <w:b/>
                <w:bCs/>
                <w:color w:val="000000"/>
                <w:szCs w:val="24"/>
              </w:rPr>
            </w:pPr>
            <w:r w:rsidRPr="003C645A">
              <w:rPr>
                <w:rFonts w:cs="Arial"/>
                <w:b/>
                <w:bCs/>
                <w:color w:val="000000"/>
                <w:szCs w:val="24"/>
              </w:rPr>
              <w:t>£m</w:t>
            </w:r>
          </w:p>
        </w:tc>
        <w:tc>
          <w:tcPr>
            <w:tcW w:w="1606" w:type="dxa"/>
            <w:gridSpan w:val="2"/>
            <w:tcBorders>
              <w:top w:val="nil"/>
              <w:left w:val="nil"/>
              <w:bottom w:val="single" w:sz="4" w:space="0" w:color="auto"/>
              <w:right w:val="single" w:sz="4" w:space="0" w:color="auto"/>
            </w:tcBorders>
            <w:shd w:val="clear" w:color="auto" w:fill="auto"/>
            <w:noWrap/>
            <w:vAlign w:val="center"/>
            <w:hideMark/>
          </w:tcPr>
          <w:p w14:paraId="40569534" w14:textId="77777777" w:rsidR="003C645A" w:rsidRPr="003C645A" w:rsidRDefault="003C645A" w:rsidP="003C645A">
            <w:pPr>
              <w:jc w:val="center"/>
              <w:rPr>
                <w:rFonts w:cs="Arial"/>
                <w:b/>
                <w:bCs/>
                <w:color w:val="000000"/>
                <w:szCs w:val="24"/>
              </w:rPr>
            </w:pPr>
            <w:r w:rsidRPr="003C645A">
              <w:rPr>
                <w:rFonts w:cs="Arial"/>
                <w:b/>
                <w:bCs/>
                <w:color w:val="000000"/>
                <w:szCs w:val="24"/>
              </w:rPr>
              <w:t>£m</w:t>
            </w:r>
          </w:p>
        </w:tc>
      </w:tr>
      <w:tr w:rsidR="003C645A" w:rsidRPr="003C645A" w14:paraId="4331B394" w14:textId="77777777" w:rsidTr="000A25CD">
        <w:trPr>
          <w:trHeight w:val="277"/>
        </w:trPr>
        <w:tc>
          <w:tcPr>
            <w:tcW w:w="705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F42004" w14:textId="77777777" w:rsidR="003C645A" w:rsidRPr="003C645A" w:rsidRDefault="003C645A" w:rsidP="003C645A">
            <w:pPr>
              <w:rPr>
                <w:rFonts w:cs="Arial"/>
                <w:color w:val="000000"/>
                <w:szCs w:val="24"/>
              </w:rPr>
            </w:pPr>
            <w:r w:rsidRPr="003C645A">
              <w:rPr>
                <w:rFonts w:cs="Arial"/>
                <w:color w:val="000000"/>
                <w:szCs w:val="24"/>
              </w:rPr>
              <w:t>Net Interest Payable – Fixed Rate</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227CFD7D" w14:textId="77777777" w:rsidR="003C645A" w:rsidRPr="003C645A" w:rsidRDefault="003C645A" w:rsidP="003C645A">
            <w:pPr>
              <w:jc w:val="center"/>
              <w:rPr>
                <w:rFonts w:cs="Arial"/>
                <w:color w:val="000000"/>
                <w:szCs w:val="24"/>
              </w:rPr>
            </w:pPr>
            <w:r w:rsidRPr="003C645A">
              <w:rPr>
                <w:rFonts w:cs="Arial"/>
                <w:color w:val="000000"/>
                <w:szCs w:val="24"/>
              </w:rPr>
              <w:t>50.40</w:t>
            </w:r>
          </w:p>
        </w:tc>
        <w:tc>
          <w:tcPr>
            <w:tcW w:w="1606" w:type="dxa"/>
            <w:gridSpan w:val="2"/>
            <w:tcBorders>
              <w:top w:val="nil"/>
              <w:left w:val="nil"/>
              <w:bottom w:val="single" w:sz="4" w:space="0" w:color="auto"/>
              <w:right w:val="single" w:sz="4" w:space="0" w:color="auto"/>
            </w:tcBorders>
            <w:shd w:val="clear" w:color="auto" w:fill="auto"/>
            <w:noWrap/>
            <w:vAlign w:val="center"/>
            <w:hideMark/>
          </w:tcPr>
          <w:p w14:paraId="30157B8E" w14:textId="77777777" w:rsidR="003C645A" w:rsidRPr="003C645A" w:rsidRDefault="003C645A" w:rsidP="003C645A">
            <w:pPr>
              <w:jc w:val="center"/>
              <w:rPr>
                <w:rFonts w:cs="Arial"/>
                <w:color w:val="000000"/>
                <w:szCs w:val="24"/>
              </w:rPr>
            </w:pPr>
            <w:r w:rsidRPr="003C645A">
              <w:rPr>
                <w:rFonts w:cs="Arial"/>
                <w:color w:val="000000"/>
                <w:szCs w:val="24"/>
              </w:rPr>
              <w:t>6.70</w:t>
            </w:r>
          </w:p>
        </w:tc>
      </w:tr>
      <w:tr w:rsidR="003C645A" w:rsidRPr="003C645A" w14:paraId="0B176DA0" w14:textId="77777777" w:rsidTr="000A25CD">
        <w:trPr>
          <w:trHeight w:val="277"/>
        </w:trPr>
        <w:tc>
          <w:tcPr>
            <w:tcW w:w="705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C3090F" w14:textId="77777777" w:rsidR="003C645A" w:rsidRPr="003C645A" w:rsidRDefault="003C645A" w:rsidP="003C645A">
            <w:pPr>
              <w:rPr>
                <w:rFonts w:cs="Arial"/>
                <w:color w:val="000000"/>
                <w:szCs w:val="24"/>
              </w:rPr>
            </w:pPr>
            <w:r w:rsidRPr="003C645A">
              <w:rPr>
                <w:rFonts w:cs="Arial"/>
                <w:color w:val="000000"/>
                <w:szCs w:val="24"/>
              </w:rPr>
              <w:t>Net Interest Payable – Variable Rate</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293F6B8D" w14:textId="77777777" w:rsidR="003C645A" w:rsidRPr="003C645A" w:rsidRDefault="003C645A" w:rsidP="003C645A">
            <w:pPr>
              <w:jc w:val="center"/>
              <w:rPr>
                <w:rFonts w:cs="Arial"/>
                <w:color w:val="000000"/>
                <w:szCs w:val="24"/>
              </w:rPr>
            </w:pPr>
            <w:r w:rsidRPr="003C645A">
              <w:rPr>
                <w:rFonts w:cs="Arial"/>
                <w:color w:val="000000"/>
                <w:szCs w:val="24"/>
              </w:rPr>
              <w:t>5.00</w:t>
            </w:r>
          </w:p>
        </w:tc>
        <w:tc>
          <w:tcPr>
            <w:tcW w:w="1606" w:type="dxa"/>
            <w:gridSpan w:val="2"/>
            <w:tcBorders>
              <w:top w:val="nil"/>
              <w:left w:val="nil"/>
              <w:bottom w:val="single" w:sz="4" w:space="0" w:color="auto"/>
              <w:right w:val="single" w:sz="4" w:space="0" w:color="auto"/>
            </w:tcBorders>
            <w:shd w:val="clear" w:color="auto" w:fill="auto"/>
            <w:noWrap/>
            <w:vAlign w:val="center"/>
            <w:hideMark/>
          </w:tcPr>
          <w:p w14:paraId="010DD7AB" w14:textId="77777777" w:rsidR="003C645A" w:rsidRPr="003C645A" w:rsidRDefault="003C645A" w:rsidP="003C645A">
            <w:pPr>
              <w:jc w:val="center"/>
              <w:rPr>
                <w:rFonts w:cs="Arial"/>
                <w:color w:val="000000"/>
                <w:szCs w:val="24"/>
              </w:rPr>
            </w:pPr>
            <w:r w:rsidRPr="003C645A">
              <w:rPr>
                <w:rFonts w:cs="Arial"/>
                <w:color w:val="000000"/>
                <w:szCs w:val="24"/>
              </w:rPr>
              <w:t>1.30</w:t>
            </w:r>
          </w:p>
        </w:tc>
      </w:tr>
      <w:tr w:rsidR="003C645A" w:rsidRPr="003C645A" w14:paraId="5CA2B710" w14:textId="77777777" w:rsidTr="000A25CD">
        <w:trPr>
          <w:trHeight w:val="277"/>
        </w:trPr>
        <w:tc>
          <w:tcPr>
            <w:tcW w:w="705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D556F0" w14:textId="77777777" w:rsidR="003C645A" w:rsidRPr="003C645A" w:rsidRDefault="003C645A" w:rsidP="003C645A">
            <w:pPr>
              <w:rPr>
                <w:rFonts w:cs="Arial"/>
                <w:color w:val="000000"/>
                <w:szCs w:val="24"/>
              </w:rPr>
            </w:pPr>
            <w:r w:rsidRPr="003C645A">
              <w:rPr>
                <w:rFonts w:cs="Arial"/>
                <w:color w:val="000000"/>
                <w:szCs w:val="24"/>
              </w:rPr>
              <w:t>1 year impact of a 1% rise</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3F7502ED" w14:textId="77777777" w:rsidR="003C645A" w:rsidRPr="003C645A" w:rsidRDefault="003C645A" w:rsidP="003C645A">
            <w:pPr>
              <w:jc w:val="center"/>
              <w:rPr>
                <w:rFonts w:cs="Arial"/>
                <w:color w:val="000000"/>
                <w:szCs w:val="24"/>
              </w:rPr>
            </w:pPr>
            <w:r w:rsidRPr="003C645A">
              <w:rPr>
                <w:rFonts w:cs="Arial"/>
                <w:color w:val="000000"/>
                <w:szCs w:val="24"/>
              </w:rPr>
              <w:t>10.00</w:t>
            </w:r>
          </w:p>
        </w:tc>
        <w:tc>
          <w:tcPr>
            <w:tcW w:w="1606" w:type="dxa"/>
            <w:gridSpan w:val="2"/>
            <w:tcBorders>
              <w:top w:val="nil"/>
              <w:left w:val="nil"/>
              <w:bottom w:val="single" w:sz="4" w:space="0" w:color="auto"/>
              <w:right w:val="single" w:sz="4" w:space="0" w:color="auto"/>
            </w:tcBorders>
            <w:shd w:val="clear" w:color="auto" w:fill="auto"/>
            <w:noWrap/>
            <w:vAlign w:val="center"/>
            <w:hideMark/>
          </w:tcPr>
          <w:p w14:paraId="06FE161B" w14:textId="77777777" w:rsidR="003C645A" w:rsidRPr="003C645A" w:rsidRDefault="003C645A" w:rsidP="003C645A">
            <w:pPr>
              <w:jc w:val="center"/>
              <w:rPr>
                <w:rFonts w:cs="Arial"/>
                <w:color w:val="000000"/>
                <w:szCs w:val="24"/>
              </w:rPr>
            </w:pPr>
            <w:r w:rsidRPr="003C645A">
              <w:rPr>
                <w:rFonts w:cs="Arial"/>
                <w:color w:val="000000"/>
                <w:szCs w:val="24"/>
              </w:rPr>
              <w:t>0.70</w:t>
            </w:r>
          </w:p>
        </w:tc>
      </w:tr>
      <w:tr w:rsidR="003C645A" w:rsidRPr="003C645A" w14:paraId="0E69ED6D" w14:textId="77777777" w:rsidTr="000A25CD">
        <w:trPr>
          <w:trHeight w:val="290"/>
        </w:trPr>
        <w:tc>
          <w:tcPr>
            <w:tcW w:w="5299" w:type="dxa"/>
            <w:gridSpan w:val="2"/>
            <w:tcBorders>
              <w:top w:val="nil"/>
              <w:left w:val="nil"/>
              <w:bottom w:val="nil"/>
              <w:right w:val="nil"/>
            </w:tcBorders>
            <w:shd w:val="clear" w:color="auto" w:fill="auto"/>
            <w:noWrap/>
            <w:vAlign w:val="bottom"/>
            <w:hideMark/>
          </w:tcPr>
          <w:p w14:paraId="6223EC91" w14:textId="77777777" w:rsidR="003C645A" w:rsidRPr="003C645A" w:rsidRDefault="003C645A" w:rsidP="003C645A">
            <w:pPr>
              <w:rPr>
                <w:rFonts w:ascii="Times New Roman" w:hAnsi="Times New Roman"/>
                <w:sz w:val="20"/>
              </w:rPr>
            </w:pPr>
          </w:p>
        </w:tc>
        <w:tc>
          <w:tcPr>
            <w:tcW w:w="1759" w:type="dxa"/>
            <w:gridSpan w:val="2"/>
            <w:tcBorders>
              <w:top w:val="nil"/>
              <w:left w:val="nil"/>
              <w:bottom w:val="nil"/>
              <w:right w:val="nil"/>
            </w:tcBorders>
            <w:shd w:val="clear" w:color="auto" w:fill="auto"/>
            <w:noWrap/>
            <w:vAlign w:val="center"/>
            <w:hideMark/>
          </w:tcPr>
          <w:p w14:paraId="173761FA" w14:textId="77777777" w:rsidR="003C645A" w:rsidRPr="003C645A" w:rsidRDefault="003C645A" w:rsidP="003C645A">
            <w:pPr>
              <w:rPr>
                <w:rFonts w:ascii="Times New Roman" w:hAnsi="Times New Roman"/>
                <w:sz w:val="20"/>
              </w:rPr>
            </w:pPr>
          </w:p>
        </w:tc>
        <w:tc>
          <w:tcPr>
            <w:tcW w:w="1759" w:type="dxa"/>
            <w:gridSpan w:val="2"/>
            <w:tcBorders>
              <w:top w:val="nil"/>
              <w:left w:val="nil"/>
              <w:bottom w:val="nil"/>
              <w:right w:val="nil"/>
            </w:tcBorders>
            <w:shd w:val="clear" w:color="auto" w:fill="auto"/>
            <w:noWrap/>
            <w:vAlign w:val="center"/>
            <w:hideMark/>
          </w:tcPr>
          <w:p w14:paraId="42B66B7E" w14:textId="77777777" w:rsidR="003C645A" w:rsidRPr="003C645A" w:rsidRDefault="003C645A" w:rsidP="003C645A">
            <w:pPr>
              <w:jc w:val="center"/>
              <w:rPr>
                <w:rFonts w:ascii="Times New Roman" w:hAnsi="Times New Roman"/>
                <w:sz w:val="20"/>
              </w:rPr>
            </w:pPr>
          </w:p>
        </w:tc>
        <w:tc>
          <w:tcPr>
            <w:tcW w:w="1606" w:type="dxa"/>
            <w:gridSpan w:val="2"/>
            <w:tcBorders>
              <w:top w:val="nil"/>
              <w:left w:val="nil"/>
              <w:bottom w:val="nil"/>
              <w:right w:val="nil"/>
            </w:tcBorders>
            <w:shd w:val="clear" w:color="auto" w:fill="auto"/>
            <w:noWrap/>
            <w:vAlign w:val="center"/>
            <w:hideMark/>
          </w:tcPr>
          <w:p w14:paraId="6B469909" w14:textId="77777777" w:rsidR="003C645A" w:rsidRPr="003C645A" w:rsidRDefault="003C645A" w:rsidP="003C645A">
            <w:pPr>
              <w:jc w:val="center"/>
              <w:rPr>
                <w:rFonts w:ascii="Times New Roman" w:hAnsi="Times New Roman"/>
                <w:sz w:val="20"/>
              </w:rPr>
            </w:pPr>
          </w:p>
        </w:tc>
      </w:tr>
      <w:tr w:rsidR="003C645A" w:rsidRPr="003C645A" w14:paraId="60D5C5B4" w14:textId="77777777" w:rsidTr="000A25CD">
        <w:trPr>
          <w:trHeight w:val="290"/>
        </w:trPr>
        <w:tc>
          <w:tcPr>
            <w:tcW w:w="5299" w:type="dxa"/>
            <w:gridSpan w:val="2"/>
            <w:tcBorders>
              <w:top w:val="single" w:sz="4" w:space="0" w:color="auto"/>
              <w:left w:val="single" w:sz="4" w:space="0" w:color="auto"/>
              <w:bottom w:val="nil"/>
              <w:right w:val="single" w:sz="4" w:space="0" w:color="auto"/>
            </w:tcBorders>
            <w:shd w:val="clear" w:color="auto" w:fill="auto"/>
            <w:noWrap/>
            <w:vAlign w:val="center"/>
            <w:hideMark/>
          </w:tcPr>
          <w:p w14:paraId="10C62B84" w14:textId="77777777" w:rsidR="003C645A" w:rsidRPr="003C645A" w:rsidRDefault="003C645A" w:rsidP="003C645A">
            <w:pPr>
              <w:rPr>
                <w:rFonts w:cs="Arial"/>
                <w:b/>
                <w:bCs/>
                <w:color w:val="000000"/>
                <w:szCs w:val="24"/>
              </w:rPr>
            </w:pPr>
            <w:r w:rsidRPr="003C645A">
              <w:rPr>
                <w:rFonts w:cs="Arial"/>
                <w:b/>
                <w:bCs/>
                <w:color w:val="000000"/>
                <w:szCs w:val="24"/>
              </w:rPr>
              <w:t>2. Maturity structure of debt</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03448" w14:textId="77777777" w:rsidR="003C645A" w:rsidRPr="003C645A" w:rsidRDefault="003C645A" w:rsidP="003C645A">
            <w:pPr>
              <w:jc w:val="center"/>
              <w:rPr>
                <w:rFonts w:cs="Arial"/>
                <w:b/>
                <w:bCs/>
                <w:color w:val="000000"/>
                <w:szCs w:val="24"/>
              </w:rPr>
            </w:pPr>
            <w:r w:rsidRPr="003C645A">
              <w:rPr>
                <w:rFonts w:cs="Arial"/>
                <w:b/>
                <w:bCs/>
                <w:color w:val="000000"/>
                <w:szCs w:val="24"/>
              </w:rPr>
              <w:t>Lower Limit %</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27304" w14:textId="77777777" w:rsidR="003C645A" w:rsidRPr="003C645A" w:rsidRDefault="003C645A" w:rsidP="003C645A">
            <w:pPr>
              <w:jc w:val="center"/>
              <w:rPr>
                <w:rFonts w:cs="Arial"/>
                <w:b/>
                <w:bCs/>
                <w:color w:val="000000"/>
                <w:szCs w:val="24"/>
              </w:rPr>
            </w:pPr>
            <w:r w:rsidRPr="003C645A">
              <w:rPr>
                <w:rFonts w:cs="Arial"/>
                <w:b/>
                <w:bCs/>
                <w:color w:val="000000"/>
                <w:szCs w:val="24"/>
              </w:rPr>
              <w:t>Upper Limit %</w:t>
            </w:r>
          </w:p>
        </w:tc>
        <w:tc>
          <w:tcPr>
            <w:tcW w:w="16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3786" w14:textId="77777777" w:rsidR="003C645A" w:rsidRPr="003C645A" w:rsidRDefault="003C645A" w:rsidP="003C645A">
            <w:pPr>
              <w:jc w:val="center"/>
              <w:rPr>
                <w:rFonts w:cs="Arial"/>
                <w:b/>
                <w:bCs/>
                <w:color w:val="000000"/>
                <w:szCs w:val="24"/>
              </w:rPr>
            </w:pPr>
            <w:r w:rsidRPr="003C645A">
              <w:rPr>
                <w:rFonts w:cs="Arial"/>
                <w:b/>
                <w:bCs/>
                <w:color w:val="000000"/>
                <w:szCs w:val="24"/>
              </w:rPr>
              <w:t>Actual %</w:t>
            </w:r>
          </w:p>
        </w:tc>
      </w:tr>
      <w:tr w:rsidR="003C645A" w:rsidRPr="003C645A" w14:paraId="6957E3DA" w14:textId="77777777" w:rsidTr="000A25CD">
        <w:trPr>
          <w:trHeight w:val="554"/>
        </w:trPr>
        <w:tc>
          <w:tcPr>
            <w:tcW w:w="5299" w:type="dxa"/>
            <w:gridSpan w:val="2"/>
            <w:tcBorders>
              <w:top w:val="nil"/>
              <w:left w:val="single" w:sz="4" w:space="0" w:color="auto"/>
              <w:bottom w:val="single" w:sz="4" w:space="0" w:color="auto"/>
              <w:right w:val="single" w:sz="4" w:space="0" w:color="auto"/>
            </w:tcBorders>
            <w:shd w:val="clear" w:color="auto" w:fill="auto"/>
            <w:vAlign w:val="bottom"/>
            <w:hideMark/>
          </w:tcPr>
          <w:p w14:paraId="040E62CF" w14:textId="77777777" w:rsidR="003C645A" w:rsidRPr="003C645A" w:rsidRDefault="003C645A" w:rsidP="003C645A">
            <w:pPr>
              <w:rPr>
                <w:rFonts w:cs="Arial"/>
                <w:color w:val="000000"/>
                <w:szCs w:val="24"/>
              </w:rPr>
            </w:pPr>
            <w:r w:rsidRPr="003C645A">
              <w:rPr>
                <w:rFonts w:cs="Arial"/>
                <w:color w:val="000000"/>
                <w:szCs w:val="24"/>
              </w:rPr>
              <w:t>The limit on the maturity structure of debt helps control refinancing risk.</w:t>
            </w: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14:paraId="36F15F90" w14:textId="77777777" w:rsidR="003C645A" w:rsidRPr="003C645A" w:rsidRDefault="003C645A" w:rsidP="003C645A">
            <w:pPr>
              <w:rPr>
                <w:rFonts w:cs="Arial"/>
                <w:b/>
                <w:bCs/>
                <w:color w:val="000000"/>
                <w:szCs w:val="24"/>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14:paraId="64EBF246" w14:textId="77777777" w:rsidR="003C645A" w:rsidRPr="003C645A" w:rsidRDefault="003C645A" w:rsidP="003C645A">
            <w:pPr>
              <w:rPr>
                <w:rFonts w:cs="Arial"/>
                <w:b/>
                <w:bCs/>
                <w:color w:val="000000"/>
                <w:szCs w:val="24"/>
              </w:rPr>
            </w:pPr>
          </w:p>
        </w:tc>
        <w:tc>
          <w:tcPr>
            <w:tcW w:w="1606" w:type="dxa"/>
            <w:gridSpan w:val="2"/>
            <w:vMerge/>
            <w:tcBorders>
              <w:top w:val="single" w:sz="4" w:space="0" w:color="auto"/>
              <w:left w:val="single" w:sz="4" w:space="0" w:color="auto"/>
              <w:bottom w:val="single" w:sz="4" w:space="0" w:color="auto"/>
              <w:right w:val="single" w:sz="4" w:space="0" w:color="auto"/>
            </w:tcBorders>
            <w:vAlign w:val="center"/>
            <w:hideMark/>
          </w:tcPr>
          <w:p w14:paraId="4ABA54E6" w14:textId="77777777" w:rsidR="003C645A" w:rsidRPr="003C645A" w:rsidRDefault="003C645A" w:rsidP="003C645A">
            <w:pPr>
              <w:rPr>
                <w:rFonts w:cs="Arial"/>
                <w:b/>
                <w:bCs/>
                <w:color w:val="000000"/>
                <w:szCs w:val="24"/>
              </w:rPr>
            </w:pPr>
          </w:p>
        </w:tc>
      </w:tr>
      <w:tr w:rsidR="003C645A" w:rsidRPr="003C645A" w14:paraId="05ADF43D" w14:textId="77777777" w:rsidTr="000A25CD">
        <w:trPr>
          <w:trHeight w:val="277"/>
        </w:trPr>
        <w:tc>
          <w:tcPr>
            <w:tcW w:w="529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CD1C67" w14:textId="77777777" w:rsidR="003C645A" w:rsidRPr="003C645A" w:rsidRDefault="003C645A" w:rsidP="003C645A">
            <w:pPr>
              <w:rPr>
                <w:rFonts w:cs="Arial"/>
                <w:color w:val="000000"/>
                <w:szCs w:val="24"/>
              </w:rPr>
            </w:pPr>
            <w:r w:rsidRPr="003C645A">
              <w:rPr>
                <w:rFonts w:cs="Arial"/>
                <w:color w:val="000000"/>
                <w:szCs w:val="24"/>
              </w:rPr>
              <w:t>Under 12 months</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36C77F13" w14:textId="77777777" w:rsidR="003C645A" w:rsidRPr="003C645A" w:rsidRDefault="003C645A" w:rsidP="003C645A">
            <w:pPr>
              <w:jc w:val="center"/>
              <w:rPr>
                <w:rFonts w:cs="Arial"/>
                <w:color w:val="000000"/>
                <w:szCs w:val="24"/>
              </w:rPr>
            </w:pPr>
            <w:r w:rsidRPr="003C645A">
              <w:rPr>
                <w:rFonts w:cs="Arial"/>
                <w:color w:val="000000"/>
                <w:szCs w:val="24"/>
              </w:rPr>
              <w:t>-</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1E62C5DC" w14:textId="77777777" w:rsidR="003C645A" w:rsidRPr="003C645A" w:rsidRDefault="003C645A" w:rsidP="003C645A">
            <w:pPr>
              <w:jc w:val="center"/>
              <w:rPr>
                <w:rFonts w:cs="Arial"/>
                <w:color w:val="000000"/>
                <w:szCs w:val="24"/>
              </w:rPr>
            </w:pPr>
            <w:r w:rsidRPr="003C645A">
              <w:rPr>
                <w:rFonts w:cs="Arial"/>
                <w:color w:val="000000"/>
                <w:szCs w:val="24"/>
              </w:rPr>
              <w:t>75</w:t>
            </w:r>
          </w:p>
        </w:tc>
        <w:tc>
          <w:tcPr>
            <w:tcW w:w="1606" w:type="dxa"/>
            <w:gridSpan w:val="2"/>
            <w:tcBorders>
              <w:top w:val="nil"/>
              <w:left w:val="nil"/>
              <w:bottom w:val="single" w:sz="4" w:space="0" w:color="auto"/>
              <w:right w:val="single" w:sz="4" w:space="0" w:color="auto"/>
            </w:tcBorders>
            <w:shd w:val="clear" w:color="auto" w:fill="auto"/>
            <w:noWrap/>
            <w:vAlign w:val="center"/>
            <w:hideMark/>
          </w:tcPr>
          <w:p w14:paraId="4E4D471D" w14:textId="77777777" w:rsidR="003C645A" w:rsidRPr="003C645A" w:rsidRDefault="003C645A" w:rsidP="003C645A">
            <w:pPr>
              <w:jc w:val="center"/>
              <w:rPr>
                <w:rFonts w:cs="Arial"/>
                <w:color w:val="000000"/>
                <w:szCs w:val="24"/>
              </w:rPr>
            </w:pPr>
            <w:r w:rsidRPr="003C645A">
              <w:rPr>
                <w:rFonts w:cs="Arial"/>
                <w:color w:val="000000"/>
                <w:szCs w:val="24"/>
              </w:rPr>
              <w:t>21</w:t>
            </w:r>
          </w:p>
        </w:tc>
      </w:tr>
      <w:tr w:rsidR="003C645A" w:rsidRPr="003C645A" w14:paraId="6A4C8E2F" w14:textId="77777777" w:rsidTr="000A25CD">
        <w:trPr>
          <w:trHeight w:val="277"/>
        </w:trPr>
        <w:tc>
          <w:tcPr>
            <w:tcW w:w="529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7F6D52" w14:textId="77777777" w:rsidR="003C645A" w:rsidRPr="003C645A" w:rsidRDefault="003C645A" w:rsidP="003C645A">
            <w:pPr>
              <w:rPr>
                <w:rFonts w:cs="Arial"/>
                <w:color w:val="000000"/>
                <w:szCs w:val="24"/>
              </w:rPr>
            </w:pPr>
            <w:r w:rsidRPr="003C645A">
              <w:rPr>
                <w:rFonts w:cs="Arial"/>
                <w:color w:val="000000"/>
                <w:szCs w:val="24"/>
              </w:rPr>
              <w:t>12 months and within 2 years</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1C91E697" w14:textId="77777777" w:rsidR="003C645A" w:rsidRPr="003C645A" w:rsidRDefault="003C645A" w:rsidP="003C645A">
            <w:pPr>
              <w:jc w:val="center"/>
              <w:rPr>
                <w:rFonts w:cs="Arial"/>
                <w:color w:val="000000"/>
                <w:szCs w:val="24"/>
              </w:rPr>
            </w:pPr>
            <w:r w:rsidRPr="003C645A">
              <w:rPr>
                <w:rFonts w:cs="Arial"/>
                <w:color w:val="000000"/>
                <w:szCs w:val="24"/>
              </w:rPr>
              <w:t>-</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2447F5D1" w14:textId="77777777" w:rsidR="003C645A" w:rsidRPr="003C645A" w:rsidRDefault="003C645A" w:rsidP="003C645A">
            <w:pPr>
              <w:jc w:val="center"/>
              <w:rPr>
                <w:rFonts w:cs="Arial"/>
                <w:color w:val="000000"/>
                <w:szCs w:val="24"/>
              </w:rPr>
            </w:pPr>
            <w:r w:rsidRPr="003C645A">
              <w:rPr>
                <w:rFonts w:cs="Arial"/>
                <w:color w:val="000000"/>
                <w:szCs w:val="24"/>
              </w:rPr>
              <w:t>75</w:t>
            </w:r>
          </w:p>
        </w:tc>
        <w:tc>
          <w:tcPr>
            <w:tcW w:w="1606" w:type="dxa"/>
            <w:gridSpan w:val="2"/>
            <w:tcBorders>
              <w:top w:val="nil"/>
              <w:left w:val="nil"/>
              <w:bottom w:val="single" w:sz="4" w:space="0" w:color="auto"/>
              <w:right w:val="single" w:sz="4" w:space="0" w:color="auto"/>
            </w:tcBorders>
            <w:shd w:val="clear" w:color="auto" w:fill="auto"/>
            <w:noWrap/>
            <w:vAlign w:val="center"/>
            <w:hideMark/>
          </w:tcPr>
          <w:p w14:paraId="77AE06EC" w14:textId="77777777" w:rsidR="003C645A" w:rsidRPr="003C645A" w:rsidRDefault="003C645A" w:rsidP="003C645A">
            <w:pPr>
              <w:jc w:val="center"/>
              <w:rPr>
                <w:rFonts w:cs="Arial"/>
                <w:color w:val="000000"/>
                <w:szCs w:val="24"/>
              </w:rPr>
            </w:pPr>
            <w:r w:rsidRPr="003C645A">
              <w:rPr>
                <w:rFonts w:cs="Arial"/>
                <w:color w:val="000000"/>
                <w:szCs w:val="24"/>
              </w:rPr>
              <w:t>36</w:t>
            </w:r>
          </w:p>
        </w:tc>
      </w:tr>
      <w:tr w:rsidR="003C645A" w:rsidRPr="003C645A" w14:paraId="0CBA70C2" w14:textId="77777777" w:rsidTr="000A25CD">
        <w:trPr>
          <w:trHeight w:val="277"/>
        </w:trPr>
        <w:tc>
          <w:tcPr>
            <w:tcW w:w="529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F7840F" w14:textId="77777777" w:rsidR="003C645A" w:rsidRPr="003C645A" w:rsidRDefault="003C645A" w:rsidP="003C645A">
            <w:pPr>
              <w:rPr>
                <w:rFonts w:cs="Arial"/>
                <w:color w:val="000000"/>
                <w:szCs w:val="24"/>
              </w:rPr>
            </w:pPr>
            <w:r w:rsidRPr="003C645A">
              <w:rPr>
                <w:rFonts w:cs="Arial"/>
                <w:color w:val="000000"/>
                <w:szCs w:val="24"/>
              </w:rPr>
              <w:t>2 years and within 5 years</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5391E4E7" w14:textId="77777777" w:rsidR="003C645A" w:rsidRPr="003C645A" w:rsidRDefault="003C645A" w:rsidP="003C645A">
            <w:pPr>
              <w:jc w:val="center"/>
              <w:rPr>
                <w:rFonts w:cs="Arial"/>
                <w:color w:val="000000"/>
                <w:szCs w:val="24"/>
              </w:rPr>
            </w:pPr>
            <w:r w:rsidRPr="003C645A">
              <w:rPr>
                <w:rFonts w:cs="Arial"/>
                <w:color w:val="000000"/>
                <w:szCs w:val="24"/>
              </w:rPr>
              <w:t>-</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1F074743" w14:textId="77777777" w:rsidR="003C645A" w:rsidRPr="003C645A" w:rsidRDefault="003C645A" w:rsidP="003C645A">
            <w:pPr>
              <w:jc w:val="center"/>
              <w:rPr>
                <w:rFonts w:cs="Arial"/>
                <w:color w:val="000000"/>
                <w:szCs w:val="24"/>
              </w:rPr>
            </w:pPr>
            <w:r w:rsidRPr="003C645A">
              <w:rPr>
                <w:rFonts w:cs="Arial"/>
                <w:color w:val="000000"/>
                <w:szCs w:val="24"/>
              </w:rPr>
              <w:t>75</w:t>
            </w:r>
          </w:p>
        </w:tc>
        <w:tc>
          <w:tcPr>
            <w:tcW w:w="1606" w:type="dxa"/>
            <w:gridSpan w:val="2"/>
            <w:tcBorders>
              <w:top w:val="nil"/>
              <w:left w:val="nil"/>
              <w:bottom w:val="single" w:sz="4" w:space="0" w:color="auto"/>
              <w:right w:val="single" w:sz="4" w:space="0" w:color="auto"/>
            </w:tcBorders>
            <w:shd w:val="clear" w:color="auto" w:fill="auto"/>
            <w:noWrap/>
            <w:vAlign w:val="center"/>
            <w:hideMark/>
          </w:tcPr>
          <w:p w14:paraId="7545AAE8" w14:textId="77777777" w:rsidR="003C645A" w:rsidRPr="003C645A" w:rsidRDefault="003C645A" w:rsidP="003C645A">
            <w:pPr>
              <w:jc w:val="center"/>
              <w:rPr>
                <w:rFonts w:cs="Arial"/>
                <w:color w:val="000000"/>
                <w:szCs w:val="24"/>
              </w:rPr>
            </w:pPr>
            <w:r w:rsidRPr="003C645A">
              <w:rPr>
                <w:rFonts w:cs="Arial"/>
                <w:color w:val="000000"/>
                <w:szCs w:val="24"/>
              </w:rPr>
              <w:t>17</w:t>
            </w:r>
          </w:p>
        </w:tc>
      </w:tr>
      <w:tr w:rsidR="003C645A" w:rsidRPr="003C645A" w14:paraId="07DE924E" w14:textId="77777777" w:rsidTr="000A25CD">
        <w:trPr>
          <w:trHeight w:val="277"/>
        </w:trPr>
        <w:tc>
          <w:tcPr>
            <w:tcW w:w="529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847A4C" w14:textId="77777777" w:rsidR="003C645A" w:rsidRPr="003C645A" w:rsidRDefault="003C645A" w:rsidP="003C645A">
            <w:pPr>
              <w:rPr>
                <w:rFonts w:cs="Arial"/>
                <w:color w:val="000000"/>
                <w:szCs w:val="24"/>
              </w:rPr>
            </w:pPr>
            <w:r w:rsidRPr="003C645A">
              <w:rPr>
                <w:rFonts w:cs="Arial"/>
                <w:color w:val="000000"/>
                <w:szCs w:val="24"/>
              </w:rPr>
              <w:t>5 years and within 10 years</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60549BCF" w14:textId="77777777" w:rsidR="003C645A" w:rsidRPr="003C645A" w:rsidRDefault="003C645A" w:rsidP="003C645A">
            <w:pPr>
              <w:jc w:val="center"/>
              <w:rPr>
                <w:rFonts w:cs="Arial"/>
                <w:color w:val="000000"/>
                <w:szCs w:val="24"/>
              </w:rPr>
            </w:pPr>
            <w:r w:rsidRPr="003C645A">
              <w:rPr>
                <w:rFonts w:cs="Arial"/>
                <w:color w:val="000000"/>
                <w:szCs w:val="24"/>
              </w:rPr>
              <w:t>-</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28EA4B1D" w14:textId="77777777" w:rsidR="003C645A" w:rsidRPr="003C645A" w:rsidRDefault="003C645A" w:rsidP="003C645A">
            <w:pPr>
              <w:jc w:val="center"/>
              <w:rPr>
                <w:rFonts w:cs="Arial"/>
                <w:color w:val="000000"/>
                <w:szCs w:val="24"/>
              </w:rPr>
            </w:pPr>
            <w:r w:rsidRPr="003C645A">
              <w:rPr>
                <w:rFonts w:cs="Arial"/>
                <w:color w:val="000000"/>
                <w:szCs w:val="24"/>
              </w:rPr>
              <w:t>75</w:t>
            </w:r>
          </w:p>
        </w:tc>
        <w:tc>
          <w:tcPr>
            <w:tcW w:w="1606" w:type="dxa"/>
            <w:gridSpan w:val="2"/>
            <w:tcBorders>
              <w:top w:val="nil"/>
              <w:left w:val="nil"/>
              <w:bottom w:val="single" w:sz="4" w:space="0" w:color="auto"/>
              <w:right w:val="single" w:sz="4" w:space="0" w:color="auto"/>
            </w:tcBorders>
            <w:shd w:val="clear" w:color="auto" w:fill="auto"/>
            <w:noWrap/>
            <w:vAlign w:val="center"/>
            <w:hideMark/>
          </w:tcPr>
          <w:p w14:paraId="3F505520" w14:textId="77777777" w:rsidR="003C645A" w:rsidRPr="003C645A" w:rsidRDefault="003C645A" w:rsidP="003C645A">
            <w:pPr>
              <w:jc w:val="center"/>
              <w:rPr>
                <w:rFonts w:cs="Arial"/>
                <w:color w:val="000000"/>
                <w:szCs w:val="24"/>
              </w:rPr>
            </w:pPr>
            <w:r w:rsidRPr="003C645A">
              <w:rPr>
                <w:rFonts w:cs="Arial"/>
                <w:color w:val="000000"/>
                <w:szCs w:val="24"/>
              </w:rPr>
              <w:t>6</w:t>
            </w:r>
          </w:p>
        </w:tc>
      </w:tr>
      <w:tr w:rsidR="003C645A" w:rsidRPr="003C645A" w14:paraId="5DD64592" w14:textId="77777777" w:rsidTr="000A25CD">
        <w:trPr>
          <w:trHeight w:val="277"/>
        </w:trPr>
        <w:tc>
          <w:tcPr>
            <w:tcW w:w="529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9F8079" w14:textId="77777777" w:rsidR="003C645A" w:rsidRPr="003C645A" w:rsidRDefault="003C645A" w:rsidP="003C645A">
            <w:pPr>
              <w:rPr>
                <w:rFonts w:cs="Arial"/>
                <w:color w:val="000000"/>
                <w:szCs w:val="24"/>
              </w:rPr>
            </w:pPr>
            <w:r w:rsidRPr="003C645A">
              <w:rPr>
                <w:rFonts w:cs="Arial"/>
                <w:color w:val="000000"/>
                <w:szCs w:val="24"/>
              </w:rPr>
              <w:t>10 years and above</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02105609" w14:textId="77777777" w:rsidR="003C645A" w:rsidRPr="003C645A" w:rsidRDefault="003C645A" w:rsidP="003C645A">
            <w:pPr>
              <w:jc w:val="center"/>
              <w:rPr>
                <w:rFonts w:cs="Arial"/>
                <w:color w:val="000000"/>
                <w:szCs w:val="24"/>
              </w:rPr>
            </w:pPr>
            <w:r w:rsidRPr="003C645A">
              <w:rPr>
                <w:rFonts w:cs="Arial"/>
                <w:color w:val="000000"/>
                <w:szCs w:val="24"/>
              </w:rPr>
              <w:t>25</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47C153F6" w14:textId="77777777" w:rsidR="003C645A" w:rsidRPr="003C645A" w:rsidRDefault="003C645A" w:rsidP="003C645A">
            <w:pPr>
              <w:jc w:val="center"/>
              <w:rPr>
                <w:rFonts w:cs="Arial"/>
                <w:color w:val="000000"/>
                <w:szCs w:val="24"/>
              </w:rPr>
            </w:pPr>
            <w:r w:rsidRPr="003C645A">
              <w:rPr>
                <w:rFonts w:cs="Arial"/>
                <w:color w:val="000000"/>
                <w:szCs w:val="24"/>
              </w:rPr>
              <w:t>100</w:t>
            </w:r>
          </w:p>
        </w:tc>
        <w:tc>
          <w:tcPr>
            <w:tcW w:w="1606" w:type="dxa"/>
            <w:gridSpan w:val="2"/>
            <w:tcBorders>
              <w:top w:val="nil"/>
              <w:left w:val="nil"/>
              <w:bottom w:val="single" w:sz="4" w:space="0" w:color="auto"/>
              <w:right w:val="single" w:sz="4" w:space="0" w:color="auto"/>
            </w:tcBorders>
            <w:shd w:val="clear" w:color="auto" w:fill="auto"/>
            <w:noWrap/>
            <w:vAlign w:val="center"/>
            <w:hideMark/>
          </w:tcPr>
          <w:p w14:paraId="5EBEEEA6" w14:textId="77777777" w:rsidR="003C645A" w:rsidRPr="003C645A" w:rsidRDefault="003C645A" w:rsidP="003C645A">
            <w:pPr>
              <w:jc w:val="center"/>
              <w:rPr>
                <w:rFonts w:cs="Arial"/>
                <w:color w:val="000000"/>
                <w:szCs w:val="24"/>
              </w:rPr>
            </w:pPr>
            <w:r w:rsidRPr="003C645A">
              <w:rPr>
                <w:rFonts w:cs="Arial"/>
                <w:color w:val="000000"/>
                <w:szCs w:val="24"/>
              </w:rPr>
              <w:t>20</w:t>
            </w:r>
          </w:p>
        </w:tc>
      </w:tr>
      <w:tr w:rsidR="003C645A" w:rsidRPr="003C645A" w14:paraId="1470425C" w14:textId="77777777" w:rsidTr="000A25CD">
        <w:trPr>
          <w:trHeight w:val="290"/>
        </w:trPr>
        <w:tc>
          <w:tcPr>
            <w:tcW w:w="5299" w:type="dxa"/>
            <w:gridSpan w:val="2"/>
            <w:tcBorders>
              <w:top w:val="nil"/>
              <w:left w:val="nil"/>
              <w:bottom w:val="nil"/>
              <w:right w:val="nil"/>
            </w:tcBorders>
            <w:shd w:val="clear" w:color="auto" w:fill="auto"/>
            <w:noWrap/>
            <w:vAlign w:val="center"/>
            <w:hideMark/>
          </w:tcPr>
          <w:p w14:paraId="434AAB90" w14:textId="77777777" w:rsidR="003C645A" w:rsidRPr="003C645A" w:rsidRDefault="003C645A" w:rsidP="003C645A">
            <w:pPr>
              <w:jc w:val="center"/>
              <w:rPr>
                <w:rFonts w:ascii="Times New Roman" w:hAnsi="Times New Roman"/>
                <w:sz w:val="20"/>
              </w:rPr>
            </w:pPr>
          </w:p>
        </w:tc>
        <w:tc>
          <w:tcPr>
            <w:tcW w:w="1759" w:type="dxa"/>
            <w:gridSpan w:val="2"/>
            <w:tcBorders>
              <w:top w:val="nil"/>
              <w:left w:val="nil"/>
              <w:bottom w:val="nil"/>
              <w:right w:val="nil"/>
            </w:tcBorders>
            <w:shd w:val="clear" w:color="auto" w:fill="auto"/>
            <w:noWrap/>
            <w:vAlign w:val="center"/>
            <w:hideMark/>
          </w:tcPr>
          <w:p w14:paraId="22A497DE" w14:textId="77777777" w:rsidR="003C645A" w:rsidRPr="003C645A" w:rsidRDefault="003C645A" w:rsidP="003C645A">
            <w:pPr>
              <w:rPr>
                <w:rFonts w:ascii="Times New Roman" w:hAnsi="Times New Roman"/>
                <w:sz w:val="20"/>
              </w:rPr>
            </w:pPr>
          </w:p>
        </w:tc>
        <w:tc>
          <w:tcPr>
            <w:tcW w:w="1759" w:type="dxa"/>
            <w:gridSpan w:val="2"/>
            <w:tcBorders>
              <w:top w:val="nil"/>
              <w:left w:val="nil"/>
              <w:bottom w:val="nil"/>
              <w:right w:val="nil"/>
            </w:tcBorders>
            <w:shd w:val="clear" w:color="auto" w:fill="auto"/>
            <w:noWrap/>
            <w:vAlign w:val="bottom"/>
            <w:hideMark/>
          </w:tcPr>
          <w:p w14:paraId="1F62F059" w14:textId="77777777" w:rsidR="003C645A" w:rsidRPr="003C645A" w:rsidRDefault="003C645A" w:rsidP="003C645A">
            <w:pPr>
              <w:rPr>
                <w:rFonts w:ascii="Times New Roman" w:hAnsi="Times New Roman"/>
                <w:sz w:val="20"/>
              </w:rPr>
            </w:pPr>
          </w:p>
        </w:tc>
        <w:tc>
          <w:tcPr>
            <w:tcW w:w="1606" w:type="dxa"/>
            <w:gridSpan w:val="2"/>
            <w:tcBorders>
              <w:top w:val="nil"/>
              <w:left w:val="nil"/>
              <w:bottom w:val="nil"/>
              <w:right w:val="nil"/>
            </w:tcBorders>
            <w:shd w:val="clear" w:color="auto" w:fill="auto"/>
            <w:noWrap/>
            <w:vAlign w:val="center"/>
            <w:hideMark/>
          </w:tcPr>
          <w:p w14:paraId="31AB51DC" w14:textId="77777777" w:rsidR="003C645A" w:rsidRPr="003C645A" w:rsidRDefault="003C645A" w:rsidP="003C645A">
            <w:pPr>
              <w:rPr>
                <w:rFonts w:ascii="Times New Roman" w:hAnsi="Times New Roman"/>
                <w:sz w:val="20"/>
              </w:rPr>
            </w:pPr>
          </w:p>
        </w:tc>
      </w:tr>
      <w:tr w:rsidR="003C645A" w:rsidRPr="003C645A" w14:paraId="3940629C" w14:textId="77777777" w:rsidTr="000A25CD">
        <w:trPr>
          <w:trHeight w:val="290"/>
        </w:trPr>
        <w:tc>
          <w:tcPr>
            <w:tcW w:w="7058" w:type="dxa"/>
            <w:gridSpan w:val="4"/>
            <w:tcBorders>
              <w:top w:val="single" w:sz="4" w:space="0" w:color="auto"/>
              <w:left w:val="single" w:sz="4" w:space="0" w:color="auto"/>
              <w:bottom w:val="nil"/>
              <w:right w:val="single" w:sz="4" w:space="0" w:color="auto"/>
            </w:tcBorders>
            <w:shd w:val="clear" w:color="auto" w:fill="auto"/>
            <w:noWrap/>
            <w:vAlign w:val="center"/>
            <w:hideMark/>
          </w:tcPr>
          <w:p w14:paraId="31AE8A4E" w14:textId="77777777" w:rsidR="003C645A" w:rsidRPr="003C645A" w:rsidRDefault="003C645A" w:rsidP="003C645A">
            <w:pPr>
              <w:rPr>
                <w:rFonts w:cs="Arial"/>
                <w:b/>
                <w:bCs/>
                <w:color w:val="000000"/>
                <w:szCs w:val="24"/>
              </w:rPr>
            </w:pPr>
            <w:r w:rsidRPr="003C645A">
              <w:rPr>
                <w:rFonts w:cs="Arial"/>
                <w:b/>
                <w:bCs/>
                <w:color w:val="000000"/>
                <w:szCs w:val="24"/>
              </w:rPr>
              <w:t>3. Investments over 364 days</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CA5BC" w14:textId="77777777" w:rsidR="003C645A" w:rsidRPr="003C645A" w:rsidRDefault="003C645A" w:rsidP="003C645A">
            <w:pPr>
              <w:jc w:val="center"/>
              <w:rPr>
                <w:rFonts w:cs="Arial"/>
                <w:b/>
                <w:bCs/>
                <w:color w:val="000000"/>
                <w:szCs w:val="24"/>
              </w:rPr>
            </w:pPr>
            <w:r w:rsidRPr="003C645A">
              <w:rPr>
                <w:rFonts w:cs="Arial"/>
                <w:b/>
                <w:bCs/>
                <w:color w:val="000000"/>
                <w:szCs w:val="24"/>
              </w:rPr>
              <w:t>Upper Limit</w:t>
            </w:r>
          </w:p>
        </w:tc>
        <w:tc>
          <w:tcPr>
            <w:tcW w:w="16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ED724" w14:textId="77777777" w:rsidR="003C645A" w:rsidRPr="003C645A" w:rsidRDefault="003C645A" w:rsidP="003C645A">
            <w:pPr>
              <w:jc w:val="center"/>
              <w:rPr>
                <w:rFonts w:cs="Arial"/>
                <w:b/>
                <w:bCs/>
                <w:color w:val="000000"/>
                <w:szCs w:val="24"/>
              </w:rPr>
            </w:pPr>
            <w:r w:rsidRPr="003C645A">
              <w:rPr>
                <w:rFonts w:cs="Arial"/>
                <w:b/>
                <w:bCs/>
                <w:color w:val="000000"/>
                <w:szCs w:val="24"/>
              </w:rPr>
              <w:t>Actual</w:t>
            </w:r>
          </w:p>
        </w:tc>
      </w:tr>
      <w:tr w:rsidR="003C645A" w:rsidRPr="003C645A" w14:paraId="7DCFBB4D" w14:textId="77777777" w:rsidTr="000A25CD">
        <w:trPr>
          <w:trHeight w:val="886"/>
        </w:trPr>
        <w:tc>
          <w:tcPr>
            <w:tcW w:w="7058" w:type="dxa"/>
            <w:gridSpan w:val="4"/>
            <w:tcBorders>
              <w:top w:val="nil"/>
              <w:left w:val="single" w:sz="4" w:space="0" w:color="auto"/>
              <w:bottom w:val="single" w:sz="4" w:space="0" w:color="auto"/>
              <w:right w:val="single" w:sz="4" w:space="0" w:color="auto"/>
            </w:tcBorders>
            <w:shd w:val="clear" w:color="auto" w:fill="auto"/>
            <w:vAlign w:val="center"/>
            <w:hideMark/>
          </w:tcPr>
          <w:p w14:paraId="7613CF0A" w14:textId="77777777" w:rsidR="003C645A" w:rsidRPr="003C645A" w:rsidRDefault="003C645A" w:rsidP="003C645A">
            <w:pPr>
              <w:rPr>
                <w:rFonts w:cs="Arial"/>
                <w:color w:val="000000"/>
                <w:szCs w:val="24"/>
              </w:rPr>
            </w:pPr>
            <w:r w:rsidRPr="003C645A">
              <w:rPr>
                <w:rFonts w:cs="Arial"/>
                <w:color w:val="000000"/>
                <w:szCs w:val="24"/>
              </w:rPr>
              <w:t>The limit on the level of long term investments helps to control liquidity, although the majority of these investments are held in available for sale securities.</w:t>
            </w: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14:paraId="70FAA0B3" w14:textId="77777777" w:rsidR="003C645A" w:rsidRPr="003C645A" w:rsidRDefault="003C645A" w:rsidP="003C645A">
            <w:pPr>
              <w:rPr>
                <w:rFonts w:cs="Arial"/>
                <w:b/>
                <w:bCs/>
                <w:color w:val="000000"/>
                <w:szCs w:val="24"/>
              </w:rPr>
            </w:pPr>
          </w:p>
        </w:tc>
        <w:tc>
          <w:tcPr>
            <w:tcW w:w="1606" w:type="dxa"/>
            <w:gridSpan w:val="2"/>
            <w:vMerge/>
            <w:tcBorders>
              <w:top w:val="single" w:sz="4" w:space="0" w:color="auto"/>
              <w:left w:val="single" w:sz="4" w:space="0" w:color="auto"/>
              <w:bottom w:val="single" w:sz="4" w:space="0" w:color="auto"/>
              <w:right w:val="single" w:sz="4" w:space="0" w:color="auto"/>
            </w:tcBorders>
            <w:vAlign w:val="center"/>
            <w:hideMark/>
          </w:tcPr>
          <w:p w14:paraId="59F3ECC9" w14:textId="77777777" w:rsidR="003C645A" w:rsidRPr="003C645A" w:rsidRDefault="003C645A" w:rsidP="003C645A">
            <w:pPr>
              <w:rPr>
                <w:rFonts w:cs="Arial"/>
                <w:b/>
                <w:bCs/>
                <w:color w:val="000000"/>
                <w:szCs w:val="24"/>
              </w:rPr>
            </w:pPr>
          </w:p>
        </w:tc>
      </w:tr>
      <w:tr w:rsidR="003C645A" w:rsidRPr="003C645A" w14:paraId="4C33D40A" w14:textId="77777777" w:rsidTr="000A25CD">
        <w:trPr>
          <w:trHeight w:val="290"/>
        </w:trPr>
        <w:tc>
          <w:tcPr>
            <w:tcW w:w="70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16279" w14:textId="77777777" w:rsidR="003C645A" w:rsidRPr="003C645A" w:rsidRDefault="003C645A" w:rsidP="003C645A">
            <w:pPr>
              <w:jc w:val="center"/>
              <w:rPr>
                <w:rFonts w:cs="Arial"/>
                <w:b/>
                <w:bCs/>
                <w:color w:val="000000"/>
                <w:szCs w:val="24"/>
              </w:rPr>
            </w:pPr>
            <w:r w:rsidRPr="003C645A">
              <w:rPr>
                <w:rFonts w:cs="Arial"/>
                <w:b/>
                <w:bCs/>
                <w:color w:val="000000"/>
                <w:szCs w:val="24"/>
              </w:rPr>
              <w:t> </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3E3B8C35" w14:textId="77777777" w:rsidR="003C645A" w:rsidRPr="003C645A" w:rsidRDefault="003C645A" w:rsidP="003C645A">
            <w:pPr>
              <w:jc w:val="center"/>
              <w:rPr>
                <w:rFonts w:cs="Arial"/>
                <w:b/>
                <w:bCs/>
                <w:color w:val="000000"/>
                <w:szCs w:val="24"/>
              </w:rPr>
            </w:pPr>
            <w:r w:rsidRPr="003C645A">
              <w:rPr>
                <w:rFonts w:cs="Arial"/>
                <w:b/>
                <w:bCs/>
                <w:color w:val="000000"/>
                <w:szCs w:val="24"/>
              </w:rPr>
              <w:t>£m</w:t>
            </w:r>
          </w:p>
        </w:tc>
        <w:tc>
          <w:tcPr>
            <w:tcW w:w="1606" w:type="dxa"/>
            <w:gridSpan w:val="2"/>
            <w:tcBorders>
              <w:top w:val="nil"/>
              <w:left w:val="nil"/>
              <w:bottom w:val="single" w:sz="4" w:space="0" w:color="auto"/>
              <w:right w:val="single" w:sz="4" w:space="0" w:color="auto"/>
            </w:tcBorders>
            <w:shd w:val="clear" w:color="auto" w:fill="auto"/>
            <w:noWrap/>
            <w:vAlign w:val="center"/>
            <w:hideMark/>
          </w:tcPr>
          <w:p w14:paraId="0D7E9557" w14:textId="77777777" w:rsidR="003C645A" w:rsidRPr="003C645A" w:rsidRDefault="003C645A" w:rsidP="003C645A">
            <w:pPr>
              <w:jc w:val="center"/>
              <w:rPr>
                <w:rFonts w:cs="Arial"/>
                <w:b/>
                <w:bCs/>
                <w:color w:val="000000"/>
                <w:szCs w:val="24"/>
              </w:rPr>
            </w:pPr>
            <w:r w:rsidRPr="003C645A">
              <w:rPr>
                <w:rFonts w:cs="Arial"/>
                <w:b/>
                <w:bCs/>
                <w:color w:val="000000"/>
                <w:szCs w:val="24"/>
              </w:rPr>
              <w:t>£m</w:t>
            </w:r>
          </w:p>
        </w:tc>
      </w:tr>
      <w:tr w:rsidR="003C645A" w:rsidRPr="003C645A" w14:paraId="01F93546" w14:textId="77777777" w:rsidTr="000A25CD">
        <w:trPr>
          <w:trHeight w:val="277"/>
        </w:trPr>
        <w:tc>
          <w:tcPr>
            <w:tcW w:w="70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A6EA1" w14:textId="77777777" w:rsidR="003C645A" w:rsidRPr="003C645A" w:rsidRDefault="003C645A" w:rsidP="003C645A">
            <w:pPr>
              <w:rPr>
                <w:rFonts w:cs="Arial"/>
                <w:color w:val="000000"/>
                <w:szCs w:val="24"/>
              </w:rPr>
            </w:pPr>
            <w:r w:rsidRPr="003C645A">
              <w:rPr>
                <w:rFonts w:cs="Arial"/>
                <w:color w:val="000000"/>
                <w:szCs w:val="24"/>
              </w:rPr>
              <w:t>Total invested over 364 days</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5752FF03" w14:textId="77777777" w:rsidR="003C645A" w:rsidRPr="003C645A" w:rsidRDefault="003C645A" w:rsidP="003C645A">
            <w:pPr>
              <w:jc w:val="center"/>
              <w:rPr>
                <w:rFonts w:cs="Arial"/>
                <w:color w:val="000000"/>
                <w:szCs w:val="24"/>
              </w:rPr>
            </w:pPr>
            <w:r w:rsidRPr="003C645A">
              <w:rPr>
                <w:rFonts w:cs="Arial"/>
                <w:color w:val="000000"/>
                <w:szCs w:val="24"/>
              </w:rPr>
              <w:t>900</w:t>
            </w:r>
          </w:p>
        </w:tc>
        <w:tc>
          <w:tcPr>
            <w:tcW w:w="1606" w:type="dxa"/>
            <w:gridSpan w:val="2"/>
            <w:tcBorders>
              <w:top w:val="nil"/>
              <w:left w:val="nil"/>
              <w:bottom w:val="single" w:sz="4" w:space="0" w:color="auto"/>
              <w:right w:val="single" w:sz="4" w:space="0" w:color="auto"/>
            </w:tcBorders>
            <w:shd w:val="clear" w:color="auto" w:fill="auto"/>
            <w:noWrap/>
            <w:vAlign w:val="center"/>
            <w:hideMark/>
          </w:tcPr>
          <w:p w14:paraId="260DFEEB" w14:textId="77777777" w:rsidR="003C645A" w:rsidRPr="003C645A" w:rsidRDefault="003C645A" w:rsidP="003C645A">
            <w:pPr>
              <w:jc w:val="center"/>
              <w:rPr>
                <w:rFonts w:cs="Arial"/>
                <w:color w:val="000000"/>
                <w:szCs w:val="24"/>
              </w:rPr>
            </w:pPr>
            <w:r w:rsidRPr="003C645A">
              <w:rPr>
                <w:rFonts w:cs="Arial"/>
                <w:color w:val="000000"/>
                <w:szCs w:val="24"/>
              </w:rPr>
              <w:t>568</w:t>
            </w:r>
          </w:p>
        </w:tc>
      </w:tr>
      <w:tr w:rsidR="003C645A" w:rsidRPr="003C645A" w14:paraId="5B26021B" w14:textId="77777777" w:rsidTr="000A25CD">
        <w:trPr>
          <w:trHeight w:val="277"/>
        </w:trPr>
        <w:tc>
          <w:tcPr>
            <w:tcW w:w="5299" w:type="dxa"/>
            <w:gridSpan w:val="2"/>
            <w:tcBorders>
              <w:top w:val="nil"/>
              <w:left w:val="nil"/>
              <w:bottom w:val="nil"/>
              <w:right w:val="nil"/>
            </w:tcBorders>
            <w:shd w:val="clear" w:color="auto" w:fill="auto"/>
            <w:vAlign w:val="center"/>
            <w:hideMark/>
          </w:tcPr>
          <w:p w14:paraId="506F6894" w14:textId="77777777" w:rsidR="003C645A" w:rsidRPr="003C645A" w:rsidRDefault="003C645A" w:rsidP="003C645A">
            <w:pPr>
              <w:jc w:val="center"/>
              <w:rPr>
                <w:rFonts w:ascii="Times New Roman" w:hAnsi="Times New Roman"/>
                <w:sz w:val="20"/>
              </w:rPr>
            </w:pPr>
            <w:bookmarkStart w:id="0" w:name="_GoBack"/>
            <w:bookmarkEnd w:id="0"/>
          </w:p>
        </w:tc>
        <w:tc>
          <w:tcPr>
            <w:tcW w:w="1759" w:type="dxa"/>
            <w:gridSpan w:val="2"/>
            <w:tcBorders>
              <w:top w:val="nil"/>
              <w:left w:val="nil"/>
              <w:bottom w:val="nil"/>
              <w:right w:val="nil"/>
            </w:tcBorders>
            <w:shd w:val="clear" w:color="auto" w:fill="auto"/>
            <w:noWrap/>
            <w:vAlign w:val="bottom"/>
            <w:hideMark/>
          </w:tcPr>
          <w:p w14:paraId="5D0BE76E" w14:textId="77777777" w:rsidR="003C645A" w:rsidRPr="003C645A" w:rsidRDefault="003C645A" w:rsidP="003C645A">
            <w:pPr>
              <w:rPr>
                <w:rFonts w:ascii="Times New Roman" w:hAnsi="Times New Roman"/>
                <w:sz w:val="20"/>
              </w:rPr>
            </w:pPr>
          </w:p>
        </w:tc>
        <w:tc>
          <w:tcPr>
            <w:tcW w:w="1759" w:type="dxa"/>
            <w:gridSpan w:val="2"/>
            <w:tcBorders>
              <w:top w:val="nil"/>
              <w:left w:val="nil"/>
              <w:bottom w:val="nil"/>
              <w:right w:val="nil"/>
            </w:tcBorders>
            <w:shd w:val="clear" w:color="auto" w:fill="auto"/>
            <w:noWrap/>
            <w:vAlign w:val="bottom"/>
            <w:hideMark/>
          </w:tcPr>
          <w:p w14:paraId="2CBA55DB" w14:textId="77777777" w:rsidR="003C645A" w:rsidRPr="003C645A" w:rsidRDefault="003C645A" w:rsidP="003C645A">
            <w:pPr>
              <w:rPr>
                <w:rFonts w:ascii="Times New Roman" w:hAnsi="Times New Roman"/>
                <w:sz w:val="20"/>
              </w:rPr>
            </w:pPr>
          </w:p>
        </w:tc>
        <w:tc>
          <w:tcPr>
            <w:tcW w:w="1606" w:type="dxa"/>
            <w:gridSpan w:val="2"/>
            <w:tcBorders>
              <w:top w:val="nil"/>
              <w:left w:val="nil"/>
              <w:bottom w:val="nil"/>
              <w:right w:val="nil"/>
            </w:tcBorders>
            <w:shd w:val="clear" w:color="auto" w:fill="auto"/>
            <w:noWrap/>
            <w:vAlign w:val="bottom"/>
            <w:hideMark/>
          </w:tcPr>
          <w:p w14:paraId="037C85CF" w14:textId="77777777" w:rsidR="003C645A" w:rsidRPr="003C645A" w:rsidRDefault="003C645A" w:rsidP="003C645A">
            <w:pPr>
              <w:rPr>
                <w:rFonts w:ascii="Times New Roman" w:hAnsi="Times New Roman"/>
                <w:sz w:val="20"/>
              </w:rPr>
            </w:pPr>
          </w:p>
        </w:tc>
      </w:tr>
      <w:tr w:rsidR="003C645A" w:rsidRPr="003C645A" w14:paraId="7EF1D7AA" w14:textId="77777777" w:rsidTr="000A25CD">
        <w:trPr>
          <w:trHeight w:val="290"/>
        </w:trPr>
        <w:tc>
          <w:tcPr>
            <w:tcW w:w="7058" w:type="dxa"/>
            <w:gridSpan w:val="4"/>
            <w:tcBorders>
              <w:top w:val="single" w:sz="4" w:space="0" w:color="auto"/>
              <w:left w:val="single" w:sz="4" w:space="0" w:color="auto"/>
              <w:bottom w:val="nil"/>
              <w:right w:val="single" w:sz="4" w:space="0" w:color="auto"/>
            </w:tcBorders>
            <w:shd w:val="clear" w:color="auto" w:fill="auto"/>
            <w:noWrap/>
            <w:vAlign w:val="center"/>
            <w:hideMark/>
          </w:tcPr>
          <w:p w14:paraId="5C2BB094" w14:textId="77777777" w:rsidR="003C645A" w:rsidRPr="003C645A" w:rsidRDefault="003C645A" w:rsidP="003C645A">
            <w:pPr>
              <w:rPr>
                <w:rFonts w:cs="Arial"/>
                <w:b/>
                <w:bCs/>
                <w:color w:val="000000"/>
                <w:szCs w:val="24"/>
              </w:rPr>
            </w:pPr>
            <w:r w:rsidRPr="003C645A">
              <w:rPr>
                <w:rFonts w:cs="Arial"/>
                <w:b/>
                <w:bCs/>
                <w:color w:val="000000"/>
                <w:szCs w:val="24"/>
              </w:rPr>
              <w:t>4. Minimum Average Credit Rating</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217C0" w14:textId="77777777" w:rsidR="003C645A" w:rsidRPr="003C645A" w:rsidRDefault="003C645A" w:rsidP="003C645A">
            <w:pPr>
              <w:jc w:val="center"/>
              <w:rPr>
                <w:rFonts w:cs="Arial"/>
                <w:b/>
                <w:bCs/>
                <w:color w:val="000000"/>
                <w:szCs w:val="24"/>
              </w:rPr>
            </w:pPr>
            <w:r w:rsidRPr="003C645A">
              <w:rPr>
                <w:rFonts w:cs="Arial"/>
                <w:b/>
                <w:bCs/>
                <w:color w:val="000000"/>
                <w:szCs w:val="24"/>
              </w:rPr>
              <w:t>Benchmark</w:t>
            </w:r>
          </w:p>
        </w:tc>
        <w:tc>
          <w:tcPr>
            <w:tcW w:w="16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5EF81" w14:textId="77777777" w:rsidR="003C645A" w:rsidRPr="003C645A" w:rsidRDefault="003C645A" w:rsidP="003C645A">
            <w:pPr>
              <w:jc w:val="center"/>
              <w:rPr>
                <w:rFonts w:cs="Arial"/>
                <w:b/>
                <w:bCs/>
                <w:color w:val="000000"/>
                <w:szCs w:val="24"/>
              </w:rPr>
            </w:pPr>
            <w:r w:rsidRPr="003C645A">
              <w:rPr>
                <w:rFonts w:cs="Arial"/>
                <w:b/>
                <w:bCs/>
                <w:color w:val="000000"/>
                <w:szCs w:val="24"/>
              </w:rPr>
              <w:t>Actual</w:t>
            </w:r>
          </w:p>
        </w:tc>
      </w:tr>
      <w:tr w:rsidR="003C645A" w:rsidRPr="003C645A" w14:paraId="7AE59288" w14:textId="77777777" w:rsidTr="000A25CD">
        <w:trPr>
          <w:trHeight w:val="831"/>
        </w:trPr>
        <w:tc>
          <w:tcPr>
            <w:tcW w:w="7058" w:type="dxa"/>
            <w:gridSpan w:val="4"/>
            <w:tcBorders>
              <w:top w:val="nil"/>
              <w:left w:val="single" w:sz="4" w:space="0" w:color="auto"/>
              <w:bottom w:val="single" w:sz="4" w:space="0" w:color="auto"/>
              <w:right w:val="single" w:sz="4" w:space="0" w:color="auto"/>
            </w:tcBorders>
            <w:shd w:val="clear" w:color="auto" w:fill="auto"/>
            <w:vAlign w:val="center"/>
            <w:hideMark/>
          </w:tcPr>
          <w:p w14:paraId="1EEB909E" w14:textId="77777777" w:rsidR="003C645A" w:rsidRPr="003C645A" w:rsidRDefault="003C645A" w:rsidP="003C645A">
            <w:pPr>
              <w:rPr>
                <w:rFonts w:cs="Arial"/>
                <w:color w:val="000000"/>
                <w:szCs w:val="24"/>
              </w:rPr>
            </w:pPr>
            <w:r w:rsidRPr="003C645A">
              <w:rPr>
                <w:rFonts w:cs="Arial"/>
                <w:color w:val="000000"/>
                <w:szCs w:val="24"/>
              </w:rPr>
              <w:t>To control credit risk the County Council requires a very high credit rating from its treasury counterparties.</w:t>
            </w: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14:paraId="4E17BA9D" w14:textId="77777777" w:rsidR="003C645A" w:rsidRPr="003C645A" w:rsidRDefault="003C645A" w:rsidP="003C645A">
            <w:pPr>
              <w:rPr>
                <w:rFonts w:cs="Arial"/>
                <w:b/>
                <w:bCs/>
                <w:color w:val="000000"/>
                <w:szCs w:val="24"/>
              </w:rPr>
            </w:pPr>
          </w:p>
        </w:tc>
        <w:tc>
          <w:tcPr>
            <w:tcW w:w="1606" w:type="dxa"/>
            <w:gridSpan w:val="2"/>
            <w:vMerge/>
            <w:tcBorders>
              <w:top w:val="single" w:sz="4" w:space="0" w:color="auto"/>
              <w:left w:val="single" w:sz="4" w:space="0" w:color="auto"/>
              <w:bottom w:val="single" w:sz="4" w:space="0" w:color="auto"/>
              <w:right w:val="single" w:sz="4" w:space="0" w:color="auto"/>
            </w:tcBorders>
            <w:vAlign w:val="center"/>
            <w:hideMark/>
          </w:tcPr>
          <w:p w14:paraId="7F5F023B" w14:textId="77777777" w:rsidR="003C645A" w:rsidRPr="003C645A" w:rsidRDefault="003C645A" w:rsidP="003C645A">
            <w:pPr>
              <w:rPr>
                <w:rFonts w:cs="Arial"/>
                <w:b/>
                <w:bCs/>
                <w:color w:val="000000"/>
                <w:szCs w:val="24"/>
              </w:rPr>
            </w:pPr>
          </w:p>
        </w:tc>
      </w:tr>
      <w:tr w:rsidR="003C645A" w:rsidRPr="003C645A" w14:paraId="62559C4B" w14:textId="77777777" w:rsidTr="000A25CD">
        <w:trPr>
          <w:trHeight w:val="277"/>
        </w:trPr>
        <w:tc>
          <w:tcPr>
            <w:tcW w:w="70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36A69" w14:textId="77777777" w:rsidR="003C645A" w:rsidRPr="003C645A" w:rsidRDefault="003C645A" w:rsidP="003C645A">
            <w:pPr>
              <w:rPr>
                <w:rFonts w:cs="Arial"/>
                <w:color w:val="000000"/>
                <w:szCs w:val="24"/>
              </w:rPr>
            </w:pPr>
            <w:r w:rsidRPr="003C645A">
              <w:rPr>
                <w:rFonts w:cs="Arial"/>
                <w:color w:val="000000"/>
                <w:szCs w:val="24"/>
              </w:rPr>
              <w:t>Average counterparty credit rating</w:t>
            </w:r>
          </w:p>
        </w:tc>
        <w:tc>
          <w:tcPr>
            <w:tcW w:w="1759" w:type="dxa"/>
            <w:gridSpan w:val="2"/>
            <w:tcBorders>
              <w:top w:val="nil"/>
              <w:left w:val="nil"/>
              <w:bottom w:val="single" w:sz="4" w:space="0" w:color="auto"/>
              <w:right w:val="single" w:sz="4" w:space="0" w:color="auto"/>
            </w:tcBorders>
            <w:shd w:val="clear" w:color="auto" w:fill="auto"/>
            <w:noWrap/>
            <w:vAlign w:val="center"/>
            <w:hideMark/>
          </w:tcPr>
          <w:p w14:paraId="5386137D" w14:textId="77777777" w:rsidR="003C645A" w:rsidRPr="003C645A" w:rsidRDefault="003C645A" w:rsidP="003C645A">
            <w:pPr>
              <w:jc w:val="center"/>
              <w:rPr>
                <w:rFonts w:cs="Arial"/>
                <w:color w:val="000000"/>
                <w:szCs w:val="24"/>
              </w:rPr>
            </w:pPr>
            <w:r w:rsidRPr="003C645A">
              <w:rPr>
                <w:rFonts w:cs="Arial"/>
                <w:color w:val="000000"/>
                <w:szCs w:val="24"/>
              </w:rPr>
              <w:t>A+</w:t>
            </w:r>
          </w:p>
        </w:tc>
        <w:tc>
          <w:tcPr>
            <w:tcW w:w="1606" w:type="dxa"/>
            <w:gridSpan w:val="2"/>
            <w:tcBorders>
              <w:top w:val="nil"/>
              <w:left w:val="nil"/>
              <w:bottom w:val="single" w:sz="4" w:space="0" w:color="auto"/>
              <w:right w:val="single" w:sz="4" w:space="0" w:color="auto"/>
            </w:tcBorders>
            <w:shd w:val="clear" w:color="auto" w:fill="auto"/>
            <w:noWrap/>
            <w:vAlign w:val="center"/>
            <w:hideMark/>
          </w:tcPr>
          <w:p w14:paraId="59A677FA" w14:textId="77777777" w:rsidR="003C645A" w:rsidRPr="003C645A" w:rsidRDefault="003C645A" w:rsidP="003C645A">
            <w:pPr>
              <w:jc w:val="center"/>
              <w:rPr>
                <w:rFonts w:cs="Arial"/>
                <w:color w:val="000000"/>
                <w:szCs w:val="24"/>
              </w:rPr>
            </w:pPr>
            <w:r w:rsidRPr="003C645A">
              <w:rPr>
                <w:rFonts w:cs="Arial"/>
                <w:color w:val="000000"/>
                <w:szCs w:val="24"/>
              </w:rPr>
              <w:t>AA+</w:t>
            </w:r>
          </w:p>
        </w:tc>
      </w:tr>
    </w:tbl>
    <w:p w14:paraId="42E10062" w14:textId="610DE924" w:rsidR="00F01ACE" w:rsidRPr="00D00843" w:rsidRDefault="00F01ACE" w:rsidP="00D00843">
      <w:pPr>
        <w:jc w:val="both"/>
        <w:rPr>
          <w:rFonts w:cs="Arial"/>
          <w:b/>
          <w:szCs w:val="24"/>
          <w:u w:val="single"/>
        </w:rPr>
      </w:pPr>
    </w:p>
    <w:sectPr w:rsidR="00F01ACE" w:rsidRPr="00D00843" w:rsidSect="000F2DA6">
      <w:headerReference w:type="default" r:id="rId9"/>
      <w:footerReference w:type="default" r:id="rId10"/>
      <w:footerReference w:type="first" r:id="rId11"/>
      <w:type w:val="continuous"/>
      <w:pgSz w:w="11907" w:h="16840" w:code="9"/>
      <w:pgMar w:top="1134" w:right="1440" w:bottom="1440" w:left="1440" w:header="706" w:footer="7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0349D" w14:textId="77777777" w:rsidR="00AE67EE" w:rsidRDefault="00AE67EE">
      <w:r>
        <w:separator/>
      </w:r>
    </w:p>
  </w:endnote>
  <w:endnote w:type="continuationSeparator" w:id="0">
    <w:p w14:paraId="5520A1E9" w14:textId="77777777" w:rsidR="00AE67EE" w:rsidRDefault="00AE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5443D" w14:textId="38CC0E24" w:rsidR="00B21C23" w:rsidRDefault="00B21C23">
    <w:pPr>
      <w:pStyle w:val="Footer"/>
      <w:jc w:val="center"/>
    </w:pPr>
  </w:p>
  <w:p w14:paraId="5317B525" w14:textId="77777777" w:rsidR="000331F9" w:rsidRDefault="000331F9">
    <w:pPr>
      <w:pStyle w:val="Footer"/>
      <w:tabs>
        <w:tab w:val="clear" w:pos="4153"/>
      </w:tabs>
      <w:ind w:right="-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456984"/>
      <w:docPartObj>
        <w:docPartGallery w:val="Page Numbers (Bottom of Page)"/>
        <w:docPartUnique/>
      </w:docPartObj>
    </w:sdtPr>
    <w:sdtEndPr>
      <w:rPr>
        <w:noProof/>
      </w:rPr>
    </w:sdtEndPr>
    <w:sdtContent>
      <w:p w14:paraId="7766AE47" w14:textId="77777777" w:rsidR="00160111" w:rsidRDefault="00160111">
        <w:pPr>
          <w:pStyle w:val="Footer"/>
          <w:jc w:val="center"/>
        </w:pPr>
        <w:r>
          <w:fldChar w:fldCharType="begin"/>
        </w:r>
        <w:r>
          <w:instrText xml:space="preserve"> PAGE   \* MERGEFORMAT </w:instrText>
        </w:r>
        <w:r>
          <w:fldChar w:fldCharType="separate"/>
        </w:r>
        <w:r w:rsidR="00D00843">
          <w:rPr>
            <w:noProof/>
          </w:rPr>
          <w:t>1</w:t>
        </w:r>
        <w:r>
          <w:rPr>
            <w:noProof/>
          </w:rPr>
          <w:fldChar w:fldCharType="end"/>
        </w:r>
      </w:p>
    </w:sdtContent>
  </w:sdt>
  <w:p w14:paraId="3938DE1E" w14:textId="77777777" w:rsidR="000331F9" w:rsidRDefault="000331F9">
    <w:pPr>
      <w:pStyle w:val="Footer"/>
      <w:tabs>
        <w:tab w:val="clear" w:pos="4153"/>
      </w:tabs>
      <w:ind w:right="-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7334F" w14:textId="77777777" w:rsidR="00AE67EE" w:rsidRDefault="00AE67EE">
      <w:r>
        <w:separator/>
      </w:r>
    </w:p>
  </w:footnote>
  <w:footnote w:type="continuationSeparator" w:id="0">
    <w:p w14:paraId="64F2C01F" w14:textId="77777777" w:rsidR="00AE67EE" w:rsidRDefault="00AE6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42F2" w14:textId="77777777" w:rsidR="000331F9" w:rsidRDefault="000331F9">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F7A"/>
    <w:multiLevelType w:val="hybridMultilevel"/>
    <w:tmpl w:val="81E2610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092B7496"/>
    <w:multiLevelType w:val="hybridMultilevel"/>
    <w:tmpl w:val="3C1C4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E0D07"/>
    <w:multiLevelType w:val="hybridMultilevel"/>
    <w:tmpl w:val="D4926224"/>
    <w:lvl w:ilvl="0" w:tplc="A202B5B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06069D"/>
    <w:multiLevelType w:val="hybridMultilevel"/>
    <w:tmpl w:val="8D4E887E"/>
    <w:lvl w:ilvl="0" w:tplc="BB94A72A">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1D894F0C"/>
    <w:multiLevelType w:val="hybridMultilevel"/>
    <w:tmpl w:val="44641344"/>
    <w:lvl w:ilvl="0" w:tplc="5DC247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3253A"/>
    <w:multiLevelType w:val="hybridMultilevel"/>
    <w:tmpl w:val="9EEA20BC"/>
    <w:lvl w:ilvl="0" w:tplc="BD726FF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BE230D"/>
    <w:multiLevelType w:val="hybridMultilevel"/>
    <w:tmpl w:val="571680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BA2327D"/>
    <w:multiLevelType w:val="hybridMultilevel"/>
    <w:tmpl w:val="3976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B7F0F"/>
    <w:multiLevelType w:val="hybridMultilevel"/>
    <w:tmpl w:val="B9DE110A"/>
    <w:lvl w:ilvl="0" w:tplc="0809000F">
      <w:start w:val="1"/>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9" w15:restartNumberingAfterBreak="0">
    <w:nsid w:val="35ED09FE"/>
    <w:multiLevelType w:val="hybridMultilevel"/>
    <w:tmpl w:val="DF4E7482"/>
    <w:lvl w:ilvl="0" w:tplc="C8FCF5BC">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6143D3"/>
    <w:multiLevelType w:val="hybridMultilevel"/>
    <w:tmpl w:val="94422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D52B0"/>
    <w:multiLevelType w:val="hybridMultilevel"/>
    <w:tmpl w:val="CC905C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99F42DA"/>
    <w:multiLevelType w:val="hybridMultilevel"/>
    <w:tmpl w:val="8130B4A8"/>
    <w:lvl w:ilvl="0" w:tplc="D93695A6">
      <w:start w:val="6"/>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F4CAA"/>
    <w:multiLevelType w:val="hybridMultilevel"/>
    <w:tmpl w:val="D5AA52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4" w15:restartNumberingAfterBreak="0">
    <w:nsid w:val="46F434E1"/>
    <w:multiLevelType w:val="multilevel"/>
    <w:tmpl w:val="20E69F94"/>
    <w:lvl w:ilvl="0">
      <w:start w:val="1"/>
      <w:numFmt w:val="decimal"/>
      <w:lvlText w:val="%1."/>
      <w:lvlJc w:val="left"/>
      <w:pPr>
        <w:ind w:left="360" w:hanging="360"/>
      </w:pPr>
      <w:rPr>
        <w:rFonts w:cs="Times New Roman"/>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F4E2415"/>
    <w:multiLevelType w:val="hybridMultilevel"/>
    <w:tmpl w:val="8CB0DAFC"/>
    <w:lvl w:ilvl="0" w:tplc="82B0FD8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175FE3"/>
    <w:multiLevelType w:val="hybridMultilevel"/>
    <w:tmpl w:val="C31ECC9C"/>
    <w:lvl w:ilvl="0" w:tplc="3B64DF6E">
      <w:start w:val="1"/>
      <w:numFmt w:val="decimal"/>
      <w:lvlText w:val="%1."/>
      <w:lvlJc w:val="left"/>
      <w:pPr>
        <w:ind w:left="786" w:hanging="360"/>
      </w:pPr>
      <w:rPr>
        <w:rFonts w:cs="Times New Roman" w:hint="default"/>
        <w:b w:val="0"/>
        <w:sz w:val="20"/>
        <w:szCs w:val="2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7" w15:restartNumberingAfterBreak="0">
    <w:nsid w:val="55CC2815"/>
    <w:multiLevelType w:val="hybridMultilevel"/>
    <w:tmpl w:val="299839BA"/>
    <w:lvl w:ilvl="0" w:tplc="176E542A">
      <w:start w:val="12"/>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2E962C0"/>
    <w:multiLevelType w:val="hybridMultilevel"/>
    <w:tmpl w:val="0524B4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9187EAD"/>
    <w:multiLevelType w:val="hybridMultilevel"/>
    <w:tmpl w:val="2CB2FC1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9D54FB6"/>
    <w:multiLevelType w:val="hybridMultilevel"/>
    <w:tmpl w:val="3E549AE0"/>
    <w:lvl w:ilvl="0" w:tplc="5C9AE326">
      <w:start w:val="2"/>
      <w:numFmt w:val="bullet"/>
      <w:lvlText w:val="-"/>
      <w:lvlJc w:val="left"/>
      <w:pPr>
        <w:ind w:left="810" w:hanging="360"/>
      </w:pPr>
      <w:rPr>
        <w:rFonts w:ascii="Arial" w:eastAsia="Times New Roman" w:hAnsi="Arial" w:hint="default"/>
      </w:rPr>
    </w:lvl>
    <w:lvl w:ilvl="1" w:tplc="08090003" w:tentative="1">
      <w:start w:val="1"/>
      <w:numFmt w:val="bullet"/>
      <w:lvlText w:val="o"/>
      <w:lvlJc w:val="left"/>
      <w:pPr>
        <w:ind w:left="1530" w:hanging="360"/>
      </w:pPr>
      <w:rPr>
        <w:rFonts w:ascii="Courier New" w:hAnsi="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6A4B1F2B"/>
    <w:multiLevelType w:val="hybridMultilevel"/>
    <w:tmpl w:val="42B4836C"/>
    <w:lvl w:ilvl="0" w:tplc="0809000F">
      <w:start w:val="1"/>
      <w:numFmt w:val="decimal"/>
      <w:lvlText w:val="%1."/>
      <w:lvlJc w:val="left"/>
      <w:pPr>
        <w:ind w:left="78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BEE6257"/>
    <w:multiLevelType w:val="hybridMultilevel"/>
    <w:tmpl w:val="FF84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94F88"/>
    <w:multiLevelType w:val="hybridMultilevel"/>
    <w:tmpl w:val="E7FC6238"/>
    <w:lvl w:ilvl="0" w:tplc="65B8AE64">
      <w:start w:val="1"/>
      <w:numFmt w:val="decimal"/>
      <w:lvlText w:val="%1."/>
      <w:lvlJc w:val="left"/>
      <w:pPr>
        <w:ind w:left="360"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num w:numId="1">
    <w:abstractNumId w:val="0"/>
  </w:num>
  <w:num w:numId="2">
    <w:abstractNumId w:val="8"/>
  </w:num>
  <w:num w:numId="3">
    <w:abstractNumId w:val="23"/>
  </w:num>
  <w:num w:numId="4">
    <w:abstractNumId w:val="19"/>
  </w:num>
  <w:num w:numId="5">
    <w:abstractNumId w:val="21"/>
  </w:num>
  <w:num w:numId="6">
    <w:abstractNumId w:val="11"/>
  </w:num>
  <w:num w:numId="7">
    <w:abstractNumId w:val="7"/>
  </w:num>
  <w:num w:numId="8">
    <w:abstractNumId w:val="6"/>
  </w:num>
  <w:num w:numId="9">
    <w:abstractNumId w:val="20"/>
  </w:num>
  <w:num w:numId="10">
    <w:abstractNumId w:val="18"/>
  </w:num>
  <w:num w:numId="11">
    <w:abstractNumId w:val="2"/>
  </w:num>
  <w:num w:numId="12">
    <w:abstractNumId w:val="3"/>
  </w:num>
  <w:num w:numId="13">
    <w:abstractNumId w:val="14"/>
  </w:num>
  <w:num w:numId="14">
    <w:abstractNumId w:val="13"/>
  </w:num>
  <w:num w:numId="15">
    <w:abstractNumId w:val="16"/>
  </w:num>
  <w:num w:numId="16">
    <w:abstractNumId w:val="17"/>
  </w:num>
  <w:num w:numId="17">
    <w:abstractNumId w:val="1"/>
  </w:num>
  <w:num w:numId="18">
    <w:abstractNumId w:val="22"/>
  </w:num>
  <w:num w:numId="19">
    <w:abstractNumId w:val="12"/>
  </w:num>
  <w:num w:numId="20">
    <w:abstractNumId w:val="4"/>
  </w:num>
  <w:num w:numId="21">
    <w:abstractNumId w:val="15"/>
  </w:num>
  <w:num w:numId="22">
    <w:abstractNumId w:val="5"/>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A4"/>
    <w:rsid w:val="00000475"/>
    <w:rsid w:val="000017CE"/>
    <w:rsid w:val="0000197F"/>
    <w:rsid w:val="00002D68"/>
    <w:rsid w:val="00003945"/>
    <w:rsid w:val="000047C4"/>
    <w:rsid w:val="00004B87"/>
    <w:rsid w:val="0000654A"/>
    <w:rsid w:val="0000791F"/>
    <w:rsid w:val="00007D5C"/>
    <w:rsid w:val="00010EF9"/>
    <w:rsid w:val="0001221F"/>
    <w:rsid w:val="00012BF5"/>
    <w:rsid w:val="00013020"/>
    <w:rsid w:val="00015A99"/>
    <w:rsid w:val="00015E7B"/>
    <w:rsid w:val="00020009"/>
    <w:rsid w:val="000204E0"/>
    <w:rsid w:val="000212C4"/>
    <w:rsid w:val="000220AB"/>
    <w:rsid w:val="00024233"/>
    <w:rsid w:val="00024DE2"/>
    <w:rsid w:val="000255E3"/>
    <w:rsid w:val="000264C7"/>
    <w:rsid w:val="000329E6"/>
    <w:rsid w:val="000331F9"/>
    <w:rsid w:val="00041284"/>
    <w:rsid w:val="00041916"/>
    <w:rsid w:val="00041BDF"/>
    <w:rsid w:val="00042020"/>
    <w:rsid w:val="00044DA7"/>
    <w:rsid w:val="00047AA0"/>
    <w:rsid w:val="00051819"/>
    <w:rsid w:val="0005201D"/>
    <w:rsid w:val="00052EE8"/>
    <w:rsid w:val="000545A3"/>
    <w:rsid w:val="0005580E"/>
    <w:rsid w:val="00056360"/>
    <w:rsid w:val="00060506"/>
    <w:rsid w:val="00061277"/>
    <w:rsid w:val="0006417A"/>
    <w:rsid w:val="00067556"/>
    <w:rsid w:val="000734DA"/>
    <w:rsid w:val="00073FB6"/>
    <w:rsid w:val="00074C9F"/>
    <w:rsid w:val="000750C7"/>
    <w:rsid w:val="00075638"/>
    <w:rsid w:val="00081C29"/>
    <w:rsid w:val="0008209F"/>
    <w:rsid w:val="00083593"/>
    <w:rsid w:val="000839BB"/>
    <w:rsid w:val="0008512F"/>
    <w:rsid w:val="0008534C"/>
    <w:rsid w:val="00090642"/>
    <w:rsid w:val="000929F4"/>
    <w:rsid w:val="00093DBA"/>
    <w:rsid w:val="000949B6"/>
    <w:rsid w:val="00094ADE"/>
    <w:rsid w:val="00095AE7"/>
    <w:rsid w:val="000A1102"/>
    <w:rsid w:val="000A25CD"/>
    <w:rsid w:val="000A269F"/>
    <w:rsid w:val="000A3AA9"/>
    <w:rsid w:val="000A55C4"/>
    <w:rsid w:val="000B18AC"/>
    <w:rsid w:val="000B1F2A"/>
    <w:rsid w:val="000B48BE"/>
    <w:rsid w:val="000B5F46"/>
    <w:rsid w:val="000B793B"/>
    <w:rsid w:val="000B7F9E"/>
    <w:rsid w:val="000C1828"/>
    <w:rsid w:val="000C182B"/>
    <w:rsid w:val="000C21C1"/>
    <w:rsid w:val="000C3A5D"/>
    <w:rsid w:val="000C41B6"/>
    <w:rsid w:val="000C75A9"/>
    <w:rsid w:val="000C7EB1"/>
    <w:rsid w:val="000D07D3"/>
    <w:rsid w:val="000D0EDD"/>
    <w:rsid w:val="000D1258"/>
    <w:rsid w:val="000D2521"/>
    <w:rsid w:val="000D27EB"/>
    <w:rsid w:val="000D3A32"/>
    <w:rsid w:val="000D4118"/>
    <w:rsid w:val="000E16A2"/>
    <w:rsid w:val="000E7B89"/>
    <w:rsid w:val="000F0A43"/>
    <w:rsid w:val="000F1083"/>
    <w:rsid w:val="000F2DA6"/>
    <w:rsid w:val="000F3E11"/>
    <w:rsid w:val="000F4096"/>
    <w:rsid w:val="000F4561"/>
    <w:rsid w:val="000F4DF5"/>
    <w:rsid w:val="000F7A78"/>
    <w:rsid w:val="00101873"/>
    <w:rsid w:val="001020AA"/>
    <w:rsid w:val="00102B9F"/>
    <w:rsid w:val="0010362C"/>
    <w:rsid w:val="00103E1B"/>
    <w:rsid w:val="00104EC4"/>
    <w:rsid w:val="00105F47"/>
    <w:rsid w:val="0010740B"/>
    <w:rsid w:val="00107E78"/>
    <w:rsid w:val="00111225"/>
    <w:rsid w:val="00111951"/>
    <w:rsid w:val="001128CC"/>
    <w:rsid w:val="001130C7"/>
    <w:rsid w:val="0011311F"/>
    <w:rsid w:val="001236AE"/>
    <w:rsid w:val="001255B3"/>
    <w:rsid w:val="0012634C"/>
    <w:rsid w:val="00126403"/>
    <w:rsid w:val="001264D6"/>
    <w:rsid w:val="00126861"/>
    <w:rsid w:val="0013054E"/>
    <w:rsid w:val="001313CC"/>
    <w:rsid w:val="00140759"/>
    <w:rsid w:val="00146ED7"/>
    <w:rsid w:val="00152137"/>
    <w:rsid w:val="00152D50"/>
    <w:rsid w:val="00153378"/>
    <w:rsid w:val="0015521A"/>
    <w:rsid w:val="00156696"/>
    <w:rsid w:val="001568A9"/>
    <w:rsid w:val="00157254"/>
    <w:rsid w:val="00160105"/>
    <w:rsid w:val="00160111"/>
    <w:rsid w:val="00160B29"/>
    <w:rsid w:val="0016265F"/>
    <w:rsid w:val="001631A1"/>
    <w:rsid w:val="0016471E"/>
    <w:rsid w:val="00164EA3"/>
    <w:rsid w:val="00165A71"/>
    <w:rsid w:val="00167BD8"/>
    <w:rsid w:val="00172457"/>
    <w:rsid w:val="001726FA"/>
    <w:rsid w:val="00173063"/>
    <w:rsid w:val="001740E7"/>
    <w:rsid w:val="00174326"/>
    <w:rsid w:val="00175102"/>
    <w:rsid w:val="00176D0D"/>
    <w:rsid w:val="001772C6"/>
    <w:rsid w:val="00180500"/>
    <w:rsid w:val="00183307"/>
    <w:rsid w:val="00184626"/>
    <w:rsid w:val="00184A2C"/>
    <w:rsid w:val="001853BD"/>
    <w:rsid w:val="001917E0"/>
    <w:rsid w:val="001929DC"/>
    <w:rsid w:val="00193D98"/>
    <w:rsid w:val="00193DB7"/>
    <w:rsid w:val="00196B20"/>
    <w:rsid w:val="001970A4"/>
    <w:rsid w:val="0019765E"/>
    <w:rsid w:val="00197A09"/>
    <w:rsid w:val="00197A83"/>
    <w:rsid w:val="001A0A84"/>
    <w:rsid w:val="001A33BE"/>
    <w:rsid w:val="001A4FE4"/>
    <w:rsid w:val="001A5FA6"/>
    <w:rsid w:val="001A699B"/>
    <w:rsid w:val="001A732A"/>
    <w:rsid w:val="001B0008"/>
    <w:rsid w:val="001B3E59"/>
    <w:rsid w:val="001B484E"/>
    <w:rsid w:val="001B486A"/>
    <w:rsid w:val="001B581D"/>
    <w:rsid w:val="001B66CB"/>
    <w:rsid w:val="001B673A"/>
    <w:rsid w:val="001B726B"/>
    <w:rsid w:val="001C0D7B"/>
    <w:rsid w:val="001C13C7"/>
    <w:rsid w:val="001C65EA"/>
    <w:rsid w:val="001C70E9"/>
    <w:rsid w:val="001C7306"/>
    <w:rsid w:val="001D1580"/>
    <w:rsid w:val="001D1840"/>
    <w:rsid w:val="001D2D57"/>
    <w:rsid w:val="001D462F"/>
    <w:rsid w:val="001D6466"/>
    <w:rsid w:val="001E1648"/>
    <w:rsid w:val="001E40BA"/>
    <w:rsid w:val="001F1707"/>
    <w:rsid w:val="001F2A47"/>
    <w:rsid w:val="001F337D"/>
    <w:rsid w:val="001F363D"/>
    <w:rsid w:val="001F487D"/>
    <w:rsid w:val="001F6E45"/>
    <w:rsid w:val="0020702D"/>
    <w:rsid w:val="00210077"/>
    <w:rsid w:val="002107C1"/>
    <w:rsid w:val="0021141B"/>
    <w:rsid w:val="00211A94"/>
    <w:rsid w:val="00212390"/>
    <w:rsid w:val="00212ADC"/>
    <w:rsid w:val="002139E0"/>
    <w:rsid w:val="00214C59"/>
    <w:rsid w:val="002156AC"/>
    <w:rsid w:val="0022245F"/>
    <w:rsid w:val="00226DA8"/>
    <w:rsid w:val="00227BA1"/>
    <w:rsid w:val="00236C21"/>
    <w:rsid w:val="00237F48"/>
    <w:rsid w:val="002406FB"/>
    <w:rsid w:val="00240B93"/>
    <w:rsid w:val="002413DF"/>
    <w:rsid w:val="002440C5"/>
    <w:rsid w:val="002457FE"/>
    <w:rsid w:val="002464A4"/>
    <w:rsid w:val="0024650C"/>
    <w:rsid w:val="00246568"/>
    <w:rsid w:val="00252454"/>
    <w:rsid w:val="002531DF"/>
    <w:rsid w:val="00255969"/>
    <w:rsid w:val="00256971"/>
    <w:rsid w:val="00257EF6"/>
    <w:rsid w:val="00261B25"/>
    <w:rsid w:val="00263422"/>
    <w:rsid w:val="00264393"/>
    <w:rsid w:val="00265411"/>
    <w:rsid w:val="00266AF2"/>
    <w:rsid w:val="00266F95"/>
    <w:rsid w:val="00267737"/>
    <w:rsid w:val="002711C3"/>
    <w:rsid w:val="00273903"/>
    <w:rsid w:val="00273E89"/>
    <w:rsid w:val="0027412A"/>
    <w:rsid w:val="002751C2"/>
    <w:rsid w:val="00275552"/>
    <w:rsid w:val="0027692A"/>
    <w:rsid w:val="0027744C"/>
    <w:rsid w:val="00280578"/>
    <w:rsid w:val="00282854"/>
    <w:rsid w:val="00285770"/>
    <w:rsid w:val="00286374"/>
    <w:rsid w:val="00290BE7"/>
    <w:rsid w:val="00290E32"/>
    <w:rsid w:val="002919D0"/>
    <w:rsid w:val="00292E72"/>
    <w:rsid w:val="0029455D"/>
    <w:rsid w:val="002A04E1"/>
    <w:rsid w:val="002A3EA1"/>
    <w:rsid w:val="002A438E"/>
    <w:rsid w:val="002A4C69"/>
    <w:rsid w:val="002A4C9B"/>
    <w:rsid w:val="002A6A44"/>
    <w:rsid w:val="002B0813"/>
    <w:rsid w:val="002B2B7B"/>
    <w:rsid w:val="002B2F78"/>
    <w:rsid w:val="002B4911"/>
    <w:rsid w:val="002B6B7A"/>
    <w:rsid w:val="002C092B"/>
    <w:rsid w:val="002C0B4A"/>
    <w:rsid w:val="002C3093"/>
    <w:rsid w:val="002C4C91"/>
    <w:rsid w:val="002C6555"/>
    <w:rsid w:val="002D029C"/>
    <w:rsid w:val="002D0DC3"/>
    <w:rsid w:val="002D2DC9"/>
    <w:rsid w:val="002D32CF"/>
    <w:rsid w:val="002D3561"/>
    <w:rsid w:val="002D36CB"/>
    <w:rsid w:val="002D609C"/>
    <w:rsid w:val="002D707B"/>
    <w:rsid w:val="002E0237"/>
    <w:rsid w:val="002E0915"/>
    <w:rsid w:val="002E1AFC"/>
    <w:rsid w:val="002E22A5"/>
    <w:rsid w:val="002E2344"/>
    <w:rsid w:val="002E5120"/>
    <w:rsid w:val="002E5D4E"/>
    <w:rsid w:val="002E5F71"/>
    <w:rsid w:val="002F0B22"/>
    <w:rsid w:val="002F2DA2"/>
    <w:rsid w:val="002F3A19"/>
    <w:rsid w:val="002F41F7"/>
    <w:rsid w:val="002F7A7B"/>
    <w:rsid w:val="00300716"/>
    <w:rsid w:val="003008CD"/>
    <w:rsid w:val="00300EA8"/>
    <w:rsid w:val="003033F1"/>
    <w:rsid w:val="00303751"/>
    <w:rsid w:val="00304117"/>
    <w:rsid w:val="00307029"/>
    <w:rsid w:val="00307DEC"/>
    <w:rsid w:val="00311F43"/>
    <w:rsid w:val="00315ADA"/>
    <w:rsid w:val="00315E31"/>
    <w:rsid w:val="00316FDD"/>
    <w:rsid w:val="003179EB"/>
    <w:rsid w:val="00324465"/>
    <w:rsid w:val="00327126"/>
    <w:rsid w:val="00327A76"/>
    <w:rsid w:val="003303E9"/>
    <w:rsid w:val="003317C2"/>
    <w:rsid w:val="00331B01"/>
    <w:rsid w:val="00332930"/>
    <w:rsid w:val="00333EC1"/>
    <w:rsid w:val="00334457"/>
    <w:rsid w:val="0033458F"/>
    <w:rsid w:val="0033491A"/>
    <w:rsid w:val="00334F9E"/>
    <w:rsid w:val="00335133"/>
    <w:rsid w:val="0034094B"/>
    <w:rsid w:val="003413AB"/>
    <w:rsid w:val="0034509C"/>
    <w:rsid w:val="00350341"/>
    <w:rsid w:val="003507FA"/>
    <w:rsid w:val="003513ED"/>
    <w:rsid w:val="003520FE"/>
    <w:rsid w:val="0035578D"/>
    <w:rsid w:val="003560A4"/>
    <w:rsid w:val="00356745"/>
    <w:rsid w:val="00356DA5"/>
    <w:rsid w:val="00360D0D"/>
    <w:rsid w:val="003626BE"/>
    <w:rsid w:val="00364A7A"/>
    <w:rsid w:val="00364EAD"/>
    <w:rsid w:val="00365D61"/>
    <w:rsid w:val="0037244E"/>
    <w:rsid w:val="00375E2D"/>
    <w:rsid w:val="0037656D"/>
    <w:rsid w:val="00381875"/>
    <w:rsid w:val="00390481"/>
    <w:rsid w:val="00392E63"/>
    <w:rsid w:val="00396FB5"/>
    <w:rsid w:val="0039737C"/>
    <w:rsid w:val="003A0F58"/>
    <w:rsid w:val="003A1871"/>
    <w:rsid w:val="003A298A"/>
    <w:rsid w:val="003A69BC"/>
    <w:rsid w:val="003A7F40"/>
    <w:rsid w:val="003B1E02"/>
    <w:rsid w:val="003B54F4"/>
    <w:rsid w:val="003B5AAF"/>
    <w:rsid w:val="003B6032"/>
    <w:rsid w:val="003B6D0A"/>
    <w:rsid w:val="003B6F6C"/>
    <w:rsid w:val="003B7681"/>
    <w:rsid w:val="003B7BB1"/>
    <w:rsid w:val="003C0324"/>
    <w:rsid w:val="003C14F7"/>
    <w:rsid w:val="003C22EB"/>
    <w:rsid w:val="003C3CFE"/>
    <w:rsid w:val="003C474F"/>
    <w:rsid w:val="003C5696"/>
    <w:rsid w:val="003C56A7"/>
    <w:rsid w:val="003C5FE7"/>
    <w:rsid w:val="003C645A"/>
    <w:rsid w:val="003C7331"/>
    <w:rsid w:val="003D1A77"/>
    <w:rsid w:val="003D379F"/>
    <w:rsid w:val="003D3A34"/>
    <w:rsid w:val="003D5B7B"/>
    <w:rsid w:val="003D64C1"/>
    <w:rsid w:val="003D69BB"/>
    <w:rsid w:val="003D69F4"/>
    <w:rsid w:val="003E1767"/>
    <w:rsid w:val="003E1EA3"/>
    <w:rsid w:val="003E41D6"/>
    <w:rsid w:val="003E7D8F"/>
    <w:rsid w:val="003F024C"/>
    <w:rsid w:val="003F1A04"/>
    <w:rsid w:val="003F31A1"/>
    <w:rsid w:val="003F34C3"/>
    <w:rsid w:val="003F3D3D"/>
    <w:rsid w:val="003F42B4"/>
    <w:rsid w:val="003F4356"/>
    <w:rsid w:val="003F6D1E"/>
    <w:rsid w:val="003F7247"/>
    <w:rsid w:val="00401A06"/>
    <w:rsid w:val="00403B6E"/>
    <w:rsid w:val="004043B1"/>
    <w:rsid w:val="004044C0"/>
    <w:rsid w:val="00406FD4"/>
    <w:rsid w:val="004107DE"/>
    <w:rsid w:val="00412AC9"/>
    <w:rsid w:val="00412F75"/>
    <w:rsid w:val="00414090"/>
    <w:rsid w:val="00414600"/>
    <w:rsid w:val="0041683F"/>
    <w:rsid w:val="00422B0C"/>
    <w:rsid w:val="004234C9"/>
    <w:rsid w:val="00424742"/>
    <w:rsid w:val="00424AA5"/>
    <w:rsid w:val="00431B68"/>
    <w:rsid w:val="0043220A"/>
    <w:rsid w:val="0043301B"/>
    <w:rsid w:val="00433C0E"/>
    <w:rsid w:val="00435036"/>
    <w:rsid w:val="004363A2"/>
    <w:rsid w:val="00436C1C"/>
    <w:rsid w:val="00437BE2"/>
    <w:rsid w:val="00440885"/>
    <w:rsid w:val="00441217"/>
    <w:rsid w:val="004415EE"/>
    <w:rsid w:val="0045002D"/>
    <w:rsid w:val="0045179C"/>
    <w:rsid w:val="00452795"/>
    <w:rsid w:val="00453216"/>
    <w:rsid w:val="00455EBD"/>
    <w:rsid w:val="00457CCC"/>
    <w:rsid w:val="00457D24"/>
    <w:rsid w:val="00462DFD"/>
    <w:rsid w:val="00462F46"/>
    <w:rsid w:val="00463324"/>
    <w:rsid w:val="00463622"/>
    <w:rsid w:val="004657C7"/>
    <w:rsid w:val="004660DE"/>
    <w:rsid w:val="004735D1"/>
    <w:rsid w:val="0047400C"/>
    <w:rsid w:val="0047461C"/>
    <w:rsid w:val="00475A44"/>
    <w:rsid w:val="00477A5F"/>
    <w:rsid w:val="0048005A"/>
    <w:rsid w:val="0048070E"/>
    <w:rsid w:val="0048171F"/>
    <w:rsid w:val="00481A4A"/>
    <w:rsid w:val="00481FB4"/>
    <w:rsid w:val="0048441A"/>
    <w:rsid w:val="0048723D"/>
    <w:rsid w:val="004902A7"/>
    <w:rsid w:val="00491ABC"/>
    <w:rsid w:val="004A11B4"/>
    <w:rsid w:val="004A1C18"/>
    <w:rsid w:val="004A2C7D"/>
    <w:rsid w:val="004A35D5"/>
    <w:rsid w:val="004A480A"/>
    <w:rsid w:val="004A5143"/>
    <w:rsid w:val="004A79C4"/>
    <w:rsid w:val="004B214A"/>
    <w:rsid w:val="004B6CC9"/>
    <w:rsid w:val="004C267E"/>
    <w:rsid w:val="004C3ED1"/>
    <w:rsid w:val="004C4602"/>
    <w:rsid w:val="004D5BEC"/>
    <w:rsid w:val="004D66A6"/>
    <w:rsid w:val="004D701E"/>
    <w:rsid w:val="004D73BB"/>
    <w:rsid w:val="004D791C"/>
    <w:rsid w:val="004E0A55"/>
    <w:rsid w:val="004E0FBB"/>
    <w:rsid w:val="004E3EC4"/>
    <w:rsid w:val="004E4B89"/>
    <w:rsid w:val="004E5C8F"/>
    <w:rsid w:val="004E699F"/>
    <w:rsid w:val="004F1BA8"/>
    <w:rsid w:val="004F1C20"/>
    <w:rsid w:val="004F2345"/>
    <w:rsid w:val="004F2DC0"/>
    <w:rsid w:val="004F42AD"/>
    <w:rsid w:val="004F52C8"/>
    <w:rsid w:val="004F6200"/>
    <w:rsid w:val="004F6929"/>
    <w:rsid w:val="004F70E5"/>
    <w:rsid w:val="00500253"/>
    <w:rsid w:val="00504E5A"/>
    <w:rsid w:val="00505D01"/>
    <w:rsid w:val="00510D71"/>
    <w:rsid w:val="00512A6C"/>
    <w:rsid w:val="0051359F"/>
    <w:rsid w:val="0051550D"/>
    <w:rsid w:val="00517108"/>
    <w:rsid w:val="00517A61"/>
    <w:rsid w:val="00517E0D"/>
    <w:rsid w:val="0052071D"/>
    <w:rsid w:val="00520A9E"/>
    <w:rsid w:val="00521FA5"/>
    <w:rsid w:val="00522FD4"/>
    <w:rsid w:val="00526B5A"/>
    <w:rsid w:val="00527A6C"/>
    <w:rsid w:val="00531429"/>
    <w:rsid w:val="005324C6"/>
    <w:rsid w:val="00534000"/>
    <w:rsid w:val="005356AE"/>
    <w:rsid w:val="005363EB"/>
    <w:rsid w:val="005369F3"/>
    <w:rsid w:val="00536EA9"/>
    <w:rsid w:val="00541722"/>
    <w:rsid w:val="00542C00"/>
    <w:rsid w:val="005431E3"/>
    <w:rsid w:val="005455A5"/>
    <w:rsid w:val="005458E8"/>
    <w:rsid w:val="00547EEF"/>
    <w:rsid w:val="00550652"/>
    <w:rsid w:val="00552CA4"/>
    <w:rsid w:val="005541B9"/>
    <w:rsid w:val="00554C70"/>
    <w:rsid w:val="00556336"/>
    <w:rsid w:val="00561D5C"/>
    <w:rsid w:val="005628D8"/>
    <w:rsid w:val="00564797"/>
    <w:rsid w:val="00564F2D"/>
    <w:rsid w:val="005653CF"/>
    <w:rsid w:val="0057045E"/>
    <w:rsid w:val="00571305"/>
    <w:rsid w:val="005723AC"/>
    <w:rsid w:val="005735DC"/>
    <w:rsid w:val="005736CD"/>
    <w:rsid w:val="00573F37"/>
    <w:rsid w:val="00575736"/>
    <w:rsid w:val="0057673A"/>
    <w:rsid w:val="00580AD6"/>
    <w:rsid w:val="0058268A"/>
    <w:rsid w:val="00582E31"/>
    <w:rsid w:val="00583CA6"/>
    <w:rsid w:val="00586AD4"/>
    <w:rsid w:val="00586B1E"/>
    <w:rsid w:val="00586D58"/>
    <w:rsid w:val="00590030"/>
    <w:rsid w:val="0059030A"/>
    <w:rsid w:val="00591364"/>
    <w:rsid w:val="00592F54"/>
    <w:rsid w:val="005931E2"/>
    <w:rsid w:val="00593A5B"/>
    <w:rsid w:val="00593D9A"/>
    <w:rsid w:val="00594A46"/>
    <w:rsid w:val="00597625"/>
    <w:rsid w:val="005A0341"/>
    <w:rsid w:val="005A1537"/>
    <w:rsid w:val="005A2158"/>
    <w:rsid w:val="005A55C6"/>
    <w:rsid w:val="005A6428"/>
    <w:rsid w:val="005A6ED5"/>
    <w:rsid w:val="005B2C27"/>
    <w:rsid w:val="005B4E8B"/>
    <w:rsid w:val="005B616F"/>
    <w:rsid w:val="005B7CC3"/>
    <w:rsid w:val="005C051E"/>
    <w:rsid w:val="005C1DC4"/>
    <w:rsid w:val="005C2383"/>
    <w:rsid w:val="005C3319"/>
    <w:rsid w:val="005C4E4C"/>
    <w:rsid w:val="005C5BB1"/>
    <w:rsid w:val="005C6E69"/>
    <w:rsid w:val="005C7EB0"/>
    <w:rsid w:val="005D1E01"/>
    <w:rsid w:val="005D3268"/>
    <w:rsid w:val="005D4311"/>
    <w:rsid w:val="005D583A"/>
    <w:rsid w:val="005D7269"/>
    <w:rsid w:val="005E02A9"/>
    <w:rsid w:val="005E1E60"/>
    <w:rsid w:val="005E2EDF"/>
    <w:rsid w:val="005E34F7"/>
    <w:rsid w:val="005E4492"/>
    <w:rsid w:val="005E4A94"/>
    <w:rsid w:val="005E57C4"/>
    <w:rsid w:val="005E5A32"/>
    <w:rsid w:val="005F1B14"/>
    <w:rsid w:val="005F3DA1"/>
    <w:rsid w:val="005F4FC4"/>
    <w:rsid w:val="00600299"/>
    <w:rsid w:val="00600C38"/>
    <w:rsid w:val="00601639"/>
    <w:rsid w:val="006029AD"/>
    <w:rsid w:val="0060692A"/>
    <w:rsid w:val="00610362"/>
    <w:rsid w:val="00612319"/>
    <w:rsid w:val="00613237"/>
    <w:rsid w:val="00615C2C"/>
    <w:rsid w:val="006226DB"/>
    <w:rsid w:val="00624BDD"/>
    <w:rsid w:val="006263DA"/>
    <w:rsid w:val="006277BC"/>
    <w:rsid w:val="00631804"/>
    <w:rsid w:val="00634457"/>
    <w:rsid w:val="00635AC0"/>
    <w:rsid w:val="00635B0D"/>
    <w:rsid w:val="006360B1"/>
    <w:rsid w:val="006360F0"/>
    <w:rsid w:val="00637460"/>
    <w:rsid w:val="00641F85"/>
    <w:rsid w:val="006426D6"/>
    <w:rsid w:val="00643FA9"/>
    <w:rsid w:val="00644542"/>
    <w:rsid w:val="006454C8"/>
    <w:rsid w:val="0064608F"/>
    <w:rsid w:val="006468F4"/>
    <w:rsid w:val="00647980"/>
    <w:rsid w:val="00650C2F"/>
    <w:rsid w:val="00651796"/>
    <w:rsid w:val="0065450F"/>
    <w:rsid w:val="00656257"/>
    <w:rsid w:val="0065632C"/>
    <w:rsid w:val="006600AC"/>
    <w:rsid w:val="00661012"/>
    <w:rsid w:val="006610A8"/>
    <w:rsid w:val="00664B5D"/>
    <w:rsid w:val="00664C72"/>
    <w:rsid w:val="006737C1"/>
    <w:rsid w:val="00673C2B"/>
    <w:rsid w:val="00681982"/>
    <w:rsid w:val="00682572"/>
    <w:rsid w:val="00682B8D"/>
    <w:rsid w:val="00684062"/>
    <w:rsid w:val="0068406F"/>
    <w:rsid w:val="00685821"/>
    <w:rsid w:val="00687332"/>
    <w:rsid w:val="00690F23"/>
    <w:rsid w:val="00690FA3"/>
    <w:rsid w:val="00691123"/>
    <w:rsid w:val="00692ACF"/>
    <w:rsid w:val="00692C8B"/>
    <w:rsid w:val="00693087"/>
    <w:rsid w:val="00697267"/>
    <w:rsid w:val="006A16BA"/>
    <w:rsid w:val="006A1F1D"/>
    <w:rsid w:val="006A2DEC"/>
    <w:rsid w:val="006A32D7"/>
    <w:rsid w:val="006A3C98"/>
    <w:rsid w:val="006A51DE"/>
    <w:rsid w:val="006A5832"/>
    <w:rsid w:val="006A5FDB"/>
    <w:rsid w:val="006A6843"/>
    <w:rsid w:val="006B0D2A"/>
    <w:rsid w:val="006B2962"/>
    <w:rsid w:val="006B4243"/>
    <w:rsid w:val="006B6276"/>
    <w:rsid w:val="006B6339"/>
    <w:rsid w:val="006B789F"/>
    <w:rsid w:val="006C10DC"/>
    <w:rsid w:val="006C196F"/>
    <w:rsid w:val="006C1AAD"/>
    <w:rsid w:val="006C206C"/>
    <w:rsid w:val="006C25A0"/>
    <w:rsid w:val="006C293A"/>
    <w:rsid w:val="006C692E"/>
    <w:rsid w:val="006D5874"/>
    <w:rsid w:val="006D58F2"/>
    <w:rsid w:val="006D6070"/>
    <w:rsid w:val="006D7867"/>
    <w:rsid w:val="006E0D04"/>
    <w:rsid w:val="006E3147"/>
    <w:rsid w:val="006E3B70"/>
    <w:rsid w:val="006E4603"/>
    <w:rsid w:val="006E4938"/>
    <w:rsid w:val="006E5FB5"/>
    <w:rsid w:val="006E6C16"/>
    <w:rsid w:val="006E79AD"/>
    <w:rsid w:val="006E7A35"/>
    <w:rsid w:val="006F031A"/>
    <w:rsid w:val="006F0392"/>
    <w:rsid w:val="006F15F9"/>
    <w:rsid w:val="006F2556"/>
    <w:rsid w:val="006F3324"/>
    <w:rsid w:val="006F4E6B"/>
    <w:rsid w:val="006F5E62"/>
    <w:rsid w:val="006F6CC7"/>
    <w:rsid w:val="0070202E"/>
    <w:rsid w:val="00704263"/>
    <w:rsid w:val="007052C5"/>
    <w:rsid w:val="007054C7"/>
    <w:rsid w:val="0071182D"/>
    <w:rsid w:val="00713058"/>
    <w:rsid w:val="007132E1"/>
    <w:rsid w:val="0071388D"/>
    <w:rsid w:val="007142CC"/>
    <w:rsid w:val="0071518D"/>
    <w:rsid w:val="00717920"/>
    <w:rsid w:val="00722123"/>
    <w:rsid w:val="00722298"/>
    <w:rsid w:val="00722DBE"/>
    <w:rsid w:val="00724181"/>
    <w:rsid w:val="0073061F"/>
    <w:rsid w:val="007322E9"/>
    <w:rsid w:val="00733D0B"/>
    <w:rsid w:val="00733E76"/>
    <w:rsid w:val="00735783"/>
    <w:rsid w:val="007404E1"/>
    <w:rsid w:val="0074165E"/>
    <w:rsid w:val="007424E4"/>
    <w:rsid w:val="00742582"/>
    <w:rsid w:val="007433DB"/>
    <w:rsid w:val="007435A1"/>
    <w:rsid w:val="00743BE0"/>
    <w:rsid w:val="00744B73"/>
    <w:rsid w:val="0074655E"/>
    <w:rsid w:val="00747832"/>
    <w:rsid w:val="00752543"/>
    <w:rsid w:val="007547C1"/>
    <w:rsid w:val="00755975"/>
    <w:rsid w:val="00760361"/>
    <w:rsid w:val="00760E4C"/>
    <w:rsid w:val="007616B4"/>
    <w:rsid w:val="00763221"/>
    <w:rsid w:val="007638EE"/>
    <w:rsid w:val="00766646"/>
    <w:rsid w:val="007669DF"/>
    <w:rsid w:val="00767FFE"/>
    <w:rsid w:val="00770B4E"/>
    <w:rsid w:val="00770CEE"/>
    <w:rsid w:val="00773340"/>
    <w:rsid w:val="00773422"/>
    <w:rsid w:val="0077384F"/>
    <w:rsid w:val="00773CF3"/>
    <w:rsid w:val="007743F5"/>
    <w:rsid w:val="0077441D"/>
    <w:rsid w:val="007744BC"/>
    <w:rsid w:val="00774FC6"/>
    <w:rsid w:val="0077563E"/>
    <w:rsid w:val="0077620D"/>
    <w:rsid w:val="0078211E"/>
    <w:rsid w:val="007828C9"/>
    <w:rsid w:val="007844AC"/>
    <w:rsid w:val="00784BE8"/>
    <w:rsid w:val="0078526D"/>
    <w:rsid w:val="0078560D"/>
    <w:rsid w:val="00785C17"/>
    <w:rsid w:val="0078695A"/>
    <w:rsid w:val="00786A5A"/>
    <w:rsid w:val="0078799A"/>
    <w:rsid w:val="00792B52"/>
    <w:rsid w:val="00792CF2"/>
    <w:rsid w:val="00793A4C"/>
    <w:rsid w:val="007958F4"/>
    <w:rsid w:val="00795BD3"/>
    <w:rsid w:val="007A00E7"/>
    <w:rsid w:val="007A0209"/>
    <w:rsid w:val="007A1759"/>
    <w:rsid w:val="007A2552"/>
    <w:rsid w:val="007A4190"/>
    <w:rsid w:val="007A4889"/>
    <w:rsid w:val="007A7253"/>
    <w:rsid w:val="007B09CE"/>
    <w:rsid w:val="007B6A60"/>
    <w:rsid w:val="007B75FD"/>
    <w:rsid w:val="007B7E70"/>
    <w:rsid w:val="007C1D76"/>
    <w:rsid w:val="007C1E6A"/>
    <w:rsid w:val="007C4036"/>
    <w:rsid w:val="007C4797"/>
    <w:rsid w:val="007C5C9B"/>
    <w:rsid w:val="007D5593"/>
    <w:rsid w:val="007D5CE4"/>
    <w:rsid w:val="007D7F14"/>
    <w:rsid w:val="007E0BA5"/>
    <w:rsid w:val="007E292D"/>
    <w:rsid w:val="007E3EA7"/>
    <w:rsid w:val="007E50DA"/>
    <w:rsid w:val="007E7EE7"/>
    <w:rsid w:val="007F43D8"/>
    <w:rsid w:val="007F61DF"/>
    <w:rsid w:val="007F7194"/>
    <w:rsid w:val="007F7D51"/>
    <w:rsid w:val="008001FA"/>
    <w:rsid w:val="0080105A"/>
    <w:rsid w:val="008015DB"/>
    <w:rsid w:val="00801B20"/>
    <w:rsid w:val="00803E5F"/>
    <w:rsid w:val="00804DB1"/>
    <w:rsid w:val="00805AAA"/>
    <w:rsid w:val="008109CF"/>
    <w:rsid w:val="00811616"/>
    <w:rsid w:val="00811F59"/>
    <w:rsid w:val="0081216E"/>
    <w:rsid w:val="00812CFF"/>
    <w:rsid w:val="00813526"/>
    <w:rsid w:val="008144D0"/>
    <w:rsid w:val="00814FB8"/>
    <w:rsid w:val="00820B8A"/>
    <w:rsid w:val="00822F8E"/>
    <w:rsid w:val="0082443D"/>
    <w:rsid w:val="008266AA"/>
    <w:rsid w:val="0082675E"/>
    <w:rsid w:val="00826DC6"/>
    <w:rsid w:val="00827EA1"/>
    <w:rsid w:val="008300D9"/>
    <w:rsid w:val="00831520"/>
    <w:rsid w:val="00831CE3"/>
    <w:rsid w:val="008337AA"/>
    <w:rsid w:val="008337C7"/>
    <w:rsid w:val="008338B1"/>
    <w:rsid w:val="00834496"/>
    <w:rsid w:val="00836CCA"/>
    <w:rsid w:val="00836E63"/>
    <w:rsid w:val="00837F98"/>
    <w:rsid w:val="00840140"/>
    <w:rsid w:val="0084027C"/>
    <w:rsid w:val="008407F8"/>
    <w:rsid w:val="0084131C"/>
    <w:rsid w:val="00841BC0"/>
    <w:rsid w:val="00842CD5"/>
    <w:rsid w:val="0085047F"/>
    <w:rsid w:val="00853488"/>
    <w:rsid w:val="008544E9"/>
    <w:rsid w:val="008556DA"/>
    <w:rsid w:val="00860803"/>
    <w:rsid w:val="00860FF1"/>
    <w:rsid w:val="00861569"/>
    <w:rsid w:val="0087080B"/>
    <w:rsid w:val="008751C9"/>
    <w:rsid w:val="008751E7"/>
    <w:rsid w:val="00877B2B"/>
    <w:rsid w:val="00880CE2"/>
    <w:rsid w:val="008811B3"/>
    <w:rsid w:val="008812B8"/>
    <w:rsid w:val="008855F6"/>
    <w:rsid w:val="00886A32"/>
    <w:rsid w:val="0088750D"/>
    <w:rsid w:val="008909C4"/>
    <w:rsid w:val="00892592"/>
    <w:rsid w:val="008956BB"/>
    <w:rsid w:val="00897EB5"/>
    <w:rsid w:val="008A1B79"/>
    <w:rsid w:val="008A45A9"/>
    <w:rsid w:val="008A5729"/>
    <w:rsid w:val="008A661A"/>
    <w:rsid w:val="008A6825"/>
    <w:rsid w:val="008B31ED"/>
    <w:rsid w:val="008B4AF7"/>
    <w:rsid w:val="008B54D4"/>
    <w:rsid w:val="008B654D"/>
    <w:rsid w:val="008B7B69"/>
    <w:rsid w:val="008C0F28"/>
    <w:rsid w:val="008C1843"/>
    <w:rsid w:val="008C3F78"/>
    <w:rsid w:val="008C45A1"/>
    <w:rsid w:val="008C7FAC"/>
    <w:rsid w:val="008D18FC"/>
    <w:rsid w:val="008D2E67"/>
    <w:rsid w:val="008D3244"/>
    <w:rsid w:val="008D3F6C"/>
    <w:rsid w:val="008D5851"/>
    <w:rsid w:val="008D585E"/>
    <w:rsid w:val="008D5E4D"/>
    <w:rsid w:val="008D6579"/>
    <w:rsid w:val="008D6731"/>
    <w:rsid w:val="008D6E02"/>
    <w:rsid w:val="008D7E16"/>
    <w:rsid w:val="008E1B62"/>
    <w:rsid w:val="008E1D31"/>
    <w:rsid w:val="008E2566"/>
    <w:rsid w:val="008E2917"/>
    <w:rsid w:val="008E521B"/>
    <w:rsid w:val="008F0AEF"/>
    <w:rsid w:val="008F19FD"/>
    <w:rsid w:val="008F543D"/>
    <w:rsid w:val="008F5D4D"/>
    <w:rsid w:val="0090092C"/>
    <w:rsid w:val="00901C1B"/>
    <w:rsid w:val="00902A64"/>
    <w:rsid w:val="00902B3A"/>
    <w:rsid w:val="00906E7A"/>
    <w:rsid w:val="009071F8"/>
    <w:rsid w:val="00907780"/>
    <w:rsid w:val="00910F0E"/>
    <w:rsid w:val="009114FE"/>
    <w:rsid w:val="00911BD8"/>
    <w:rsid w:val="00912CEA"/>
    <w:rsid w:val="009147D5"/>
    <w:rsid w:val="00915DF7"/>
    <w:rsid w:val="00916423"/>
    <w:rsid w:val="00917AC0"/>
    <w:rsid w:val="00917C41"/>
    <w:rsid w:val="00920396"/>
    <w:rsid w:val="0092192D"/>
    <w:rsid w:val="009222BD"/>
    <w:rsid w:val="0092290B"/>
    <w:rsid w:val="00923BF0"/>
    <w:rsid w:val="00925482"/>
    <w:rsid w:val="009264A3"/>
    <w:rsid w:val="00927CE3"/>
    <w:rsid w:val="00927EC6"/>
    <w:rsid w:val="00930D5A"/>
    <w:rsid w:val="00931724"/>
    <w:rsid w:val="00936AD5"/>
    <w:rsid w:val="00936D99"/>
    <w:rsid w:val="00937C1E"/>
    <w:rsid w:val="009416F1"/>
    <w:rsid w:val="0094199A"/>
    <w:rsid w:val="00942157"/>
    <w:rsid w:val="009428A9"/>
    <w:rsid w:val="0094493D"/>
    <w:rsid w:val="00944C98"/>
    <w:rsid w:val="00945FB1"/>
    <w:rsid w:val="009500ED"/>
    <w:rsid w:val="00950A7F"/>
    <w:rsid w:val="00952158"/>
    <w:rsid w:val="00952645"/>
    <w:rsid w:val="0095528B"/>
    <w:rsid w:val="009569C1"/>
    <w:rsid w:val="00956B81"/>
    <w:rsid w:val="00956D3C"/>
    <w:rsid w:val="00956F62"/>
    <w:rsid w:val="009572AF"/>
    <w:rsid w:val="00961275"/>
    <w:rsid w:val="009612C9"/>
    <w:rsid w:val="009622FD"/>
    <w:rsid w:val="00964A80"/>
    <w:rsid w:val="00964C09"/>
    <w:rsid w:val="009664B7"/>
    <w:rsid w:val="00966B86"/>
    <w:rsid w:val="00966D50"/>
    <w:rsid w:val="009703C4"/>
    <w:rsid w:val="00971639"/>
    <w:rsid w:val="009800F6"/>
    <w:rsid w:val="00982384"/>
    <w:rsid w:val="0098242B"/>
    <w:rsid w:val="00984243"/>
    <w:rsid w:val="009848BD"/>
    <w:rsid w:val="009862F9"/>
    <w:rsid w:val="0098765A"/>
    <w:rsid w:val="0098781D"/>
    <w:rsid w:val="009915BF"/>
    <w:rsid w:val="00991B21"/>
    <w:rsid w:val="00993D0B"/>
    <w:rsid w:val="00994AE9"/>
    <w:rsid w:val="009952AF"/>
    <w:rsid w:val="00995B4A"/>
    <w:rsid w:val="009A144A"/>
    <w:rsid w:val="009A2FF3"/>
    <w:rsid w:val="009A322E"/>
    <w:rsid w:val="009A6AA9"/>
    <w:rsid w:val="009A6AB0"/>
    <w:rsid w:val="009A6AF4"/>
    <w:rsid w:val="009B0089"/>
    <w:rsid w:val="009B0888"/>
    <w:rsid w:val="009B0BEE"/>
    <w:rsid w:val="009B0DFC"/>
    <w:rsid w:val="009B0ED9"/>
    <w:rsid w:val="009B1483"/>
    <w:rsid w:val="009B4156"/>
    <w:rsid w:val="009B58FE"/>
    <w:rsid w:val="009C44AE"/>
    <w:rsid w:val="009C4E78"/>
    <w:rsid w:val="009C51E3"/>
    <w:rsid w:val="009C5844"/>
    <w:rsid w:val="009C7DA4"/>
    <w:rsid w:val="009D4D55"/>
    <w:rsid w:val="009D4DA4"/>
    <w:rsid w:val="009D5752"/>
    <w:rsid w:val="009D5A2D"/>
    <w:rsid w:val="009D6351"/>
    <w:rsid w:val="009D726B"/>
    <w:rsid w:val="009E0920"/>
    <w:rsid w:val="009E1527"/>
    <w:rsid w:val="009E154F"/>
    <w:rsid w:val="009E1E6F"/>
    <w:rsid w:val="009E284A"/>
    <w:rsid w:val="009E33A2"/>
    <w:rsid w:val="009E3643"/>
    <w:rsid w:val="009E5565"/>
    <w:rsid w:val="009E60A8"/>
    <w:rsid w:val="009E60E7"/>
    <w:rsid w:val="009E716F"/>
    <w:rsid w:val="009F032F"/>
    <w:rsid w:val="009F18A0"/>
    <w:rsid w:val="009F23DA"/>
    <w:rsid w:val="009F2E6A"/>
    <w:rsid w:val="009F2F28"/>
    <w:rsid w:val="009F4191"/>
    <w:rsid w:val="009F4867"/>
    <w:rsid w:val="009F4BD7"/>
    <w:rsid w:val="009F4CF9"/>
    <w:rsid w:val="009F5245"/>
    <w:rsid w:val="009F594E"/>
    <w:rsid w:val="009F5961"/>
    <w:rsid w:val="009F707F"/>
    <w:rsid w:val="00A004EA"/>
    <w:rsid w:val="00A032F6"/>
    <w:rsid w:val="00A04D4A"/>
    <w:rsid w:val="00A06C3E"/>
    <w:rsid w:val="00A13910"/>
    <w:rsid w:val="00A1466B"/>
    <w:rsid w:val="00A165AF"/>
    <w:rsid w:val="00A16919"/>
    <w:rsid w:val="00A171B8"/>
    <w:rsid w:val="00A2018A"/>
    <w:rsid w:val="00A2039A"/>
    <w:rsid w:val="00A212C1"/>
    <w:rsid w:val="00A217EF"/>
    <w:rsid w:val="00A220B3"/>
    <w:rsid w:val="00A2335E"/>
    <w:rsid w:val="00A26335"/>
    <w:rsid w:val="00A30055"/>
    <w:rsid w:val="00A324CB"/>
    <w:rsid w:val="00A3400D"/>
    <w:rsid w:val="00A346E2"/>
    <w:rsid w:val="00A3502F"/>
    <w:rsid w:val="00A36133"/>
    <w:rsid w:val="00A36E12"/>
    <w:rsid w:val="00A3721F"/>
    <w:rsid w:val="00A37E54"/>
    <w:rsid w:val="00A41249"/>
    <w:rsid w:val="00A42549"/>
    <w:rsid w:val="00A44DD5"/>
    <w:rsid w:val="00A44EF4"/>
    <w:rsid w:val="00A45015"/>
    <w:rsid w:val="00A4584C"/>
    <w:rsid w:val="00A46011"/>
    <w:rsid w:val="00A461FF"/>
    <w:rsid w:val="00A50194"/>
    <w:rsid w:val="00A50C99"/>
    <w:rsid w:val="00A50DA7"/>
    <w:rsid w:val="00A51A39"/>
    <w:rsid w:val="00A522C9"/>
    <w:rsid w:val="00A52C8F"/>
    <w:rsid w:val="00A55223"/>
    <w:rsid w:val="00A5566F"/>
    <w:rsid w:val="00A56A5E"/>
    <w:rsid w:val="00A57257"/>
    <w:rsid w:val="00A572FE"/>
    <w:rsid w:val="00A57EA4"/>
    <w:rsid w:val="00A605DE"/>
    <w:rsid w:val="00A63B24"/>
    <w:rsid w:val="00A648D4"/>
    <w:rsid w:val="00A70443"/>
    <w:rsid w:val="00A70459"/>
    <w:rsid w:val="00A712B3"/>
    <w:rsid w:val="00A714FD"/>
    <w:rsid w:val="00A721AC"/>
    <w:rsid w:val="00A72C98"/>
    <w:rsid w:val="00A732FD"/>
    <w:rsid w:val="00A73F13"/>
    <w:rsid w:val="00A73F9C"/>
    <w:rsid w:val="00A752C2"/>
    <w:rsid w:val="00A75C33"/>
    <w:rsid w:val="00A75C45"/>
    <w:rsid w:val="00A81A99"/>
    <w:rsid w:val="00A81FA9"/>
    <w:rsid w:val="00A8330A"/>
    <w:rsid w:val="00A8496C"/>
    <w:rsid w:val="00A86A0A"/>
    <w:rsid w:val="00A86F49"/>
    <w:rsid w:val="00A903AE"/>
    <w:rsid w:val="00A91484"/>
    <w:rsid w:val="00A91E53"/>
    <w:rsid w:val="00A91F5B"/>
    <w:rsid w:val="00A9291B"/>
    <w:rsid w:val="00A95CEC"/>
    <w:rsid w:val="00A9642F"/>
    <w:rsid w:val="00AA1D3F"/>
    <w:rsid w:val="00AA29A6"/>
    <w:rsid w:val="00AA2AD4"/>
    <w:rsid w:val="00AB0F48"/>
    <w:rsid w:val="00AB0F8F"/>
    <w:rsid w:val="00AB1274"/>
    <w:rsid w:val="00AB2052"/>
    <w:rsid w:val="00AB3480"/>
    <w:rsid w:val="00AB6BAC"/>
    <w:rsid w:val="00AC2AAA"/>
    <w:rsid w:val="00AC533C"/>
    <w:rsid w:val="00AC5F79"/>
    <w:rsid w:val="00AC6557"/>
    <w:rsid w:val="00AC7AEC"/>
    <w:rsid w:val="00AD0164"/>
    <w:rsid w:val="00AD22C6"/>
    <w:rsid w:val="00AD3201"/>
    <w:rsid w:val="00AD3E3C"/>
    <w:rsid w:val="00AD60B2"/>
    <w:rsid w:val="00AD6830"/>
    <w:rsid w:val="00AD7D6F"/>
    <w:rsid w:val="00AE01C2"/>
    <w:rsid w:val="00AE20BA"/>
    <w:rsid w:val="00AE2AD0"/>
    <w:rsid w:val="00AE656D"/>
    <w:rsid w:val="00AE67EE"/>
    <w:rsid w:val="00AE729C"/>
    <w:rsid w:val="00AE78C6"/>
    <w:rsid w:val="00AF51D9"/>
    <w:rsid w:val="00AF568E"/>
    <w:rsid w:val="00AF56E2"/>
    <w:rsid w:val="00AF7F35"/>
    <w:rsid w:val="00B00BA8"/>
    <w:rsid w:val="00B00E09"/>
    <w:rsid w:val="00B01FD5"/>
    <w:rsid w:val="00B0217B"/>
    <w:rsid w:val="00B07753"/>
    <w:rsid w:val="00B12638"/>
    <w:rsid w:val="00B1394D"/>
    <w:rsid w:val="00B13DCA"/>
    <w:rsid w:val="00B149C1"/>
    <w:rsid w:val="00B15645"/>
    <w:rsid w:val="00B1677C"/>
    <w:rsid w:val="00B1773B"/>
    <w:rsid w:val="00B206BF"/>
    <w:rsid w:val="00B217DC"/>
    <w:rsid w:val="00B21C23"/>
    <w:rsid w:val="00B221C7"/>
    <w:rsid w:val="00B26CC8"/>
    <w:rsid w:val="00B278C2"/>
    <w:rsid w:val="00B30422"/>
    <w:rsid w:val="00B30F1B"/>
    <w:rsid w:val="00B316B0"/>
    <w:rsid w:val="00B341BD"/>
    <w:rsid w:val="00B35758"/>
    <w:rsid w:val="00B35ED1"/>
    <w:rsid w:val="00B36378"/>
    <w:rsid w:val="00B37B14"/>
    <w:rsid w:val="00B41EF8"/>
    <w:rsid w:val="00B448C3"/>
    <w:rsid w:val="00B45459"/>
    <w:rsid w:val="00B455CF"/>
    <w:rsid w:val="00B45F6E"/>
    <w:rsid w:val="00B46F5A"/>
    <w:rsid w:val="00B50D04"/>
    <w:rsid w:val="00B513B8"/>
    <w:rsid w:val="00B52136"/>
    <w:rsid w:val="00B56615"/>
    <w:rsid w:val="00B57B3E"/>
    <w:rsid w:val="00B57D0F"/>
    <w:rsid w:val="00B61EAB"/>
    <w:rsid w:val="00B657DA"/>
    <w:rsid w:val="00B65F80"/>
    <w:rsid w:val="00B65FA9"/>
    <w:rsid w:val="00B70218"/>
    <w:rsid w:val="00B70A26"/>
    <w:rsid w:val="00B70ECE"/>
    <w:rsid w:val="00B71368"/>
    <w:rsid w:val="00B7358F"/>
    <w:rsid w:val="00B73AFF"/>
    <w:rsid w:val="00B807ED"/>
    <w:rsid w:val="00B80BBD"/>
    <w:rsid w:val="00B81686"/>
    <w:rsid w:val="00B81A6B"/>
    <w:rsid w:val="00B8254E"/>
    <w:rsid w:val="00B8395C"/>
    <w:rsid w:val="00B843B3"/>
    <w:rsid w:val="00B8525F"/>
    <w:rsid w:val="00B85D05"/>
    <w:rsid w:val="00B85DF1"/>
    <w:rsid w:val="00B86166"/>
    <w:rsid w:val="00B94DD9"/>
    <w:rsid w:val="00B97D37"/>
    <w:rsid w:val="00BA177B"/>
    <w:rsid w:val="00BA19CA"/>
    <w:rsid w:val="00BA2012"/>
    <w:rsid w:val="00BA2B14"/>
    <w:rsid w:val="00BA2F33"/>
    <w:rsid w:val="00BA3795"/>
    <w:rsid w:val="00BA4835"/>
    <w:rsid w:val="00BA4BCF"/>
    <w:rsid w:val="00BA50A6"/>
    <w:rsid w:val="00BA55F4"/>
    <w:rsid w:val="00BA65AE"/>
    <w:rsid w:val="00BA72DC"/>
    <w:rsid w:val="00BB156A"/>
    <w:rsid w:val="00BB2F1C"/>
    <w:rsid w:val="00BB796B"/>
    <w:rsid w:val="00BB7A1C"/>
    <w:rsid w:val="00BC15AE"/>
    <w:rsid w:val="00BC5730"/>
    <w:rsid w:val="00BC68D4"/>
    <w:rsid w:val="00BC6AB2"/>
    <w:rsid w:val="00BC7232"/>
    <w:rsid w:val="00BD0126"/>
    <w:rsid w:val="00BD1E11"/>
    <w:rsid w:val="00BD2831"/>
    <w:rsid w:val="00BD35DF"/>
    <w:rsid w:val="00BD493A"/>
    <w:rsid w:val="00BD4F2E"/>
    <w:rsid w:val="00BD527A"/>
    <w:rsid w:val="00BE0986"/>
    <w:rsid w:val="00BE2726"/>
    <w:rsid w:val="00BE2BFE"/>
    <w:rsid w:val="00BE2E99"/>
    <w:rsid w:val="00BE3883"/>
    <w:rsid w:val="00BE38D9"/>
    <w:rsid w:val="00BE440E"/>
    <w:rsid w:val="00BE4AB2"/>
    <w:rsid w:val="00BE75C4"/>
    <w:rsid w:val="00BF04BD"/>
    <w:rsid w:val="00BF1E00"/>
    <w:rsid w:val="00BF215C"/>
    <w:rsid w:val="00BF2958"/>
    <w:rsid w:val="00BF2C55"/>
    <w:rsid w:val="00BF51D6"/>
    <w:rsid w:val="00BF6983"/>
    <w:rsid w:val="00BF760C"/>
    <w:rsid w:val="00C02D95"/>
    <w:rsid w:val="00C0388E"/>
    <w:rsid w:val="00C0592C"/>
    <w:rsid w:val="00C0600B"/>
    <w:rsid w:val="00C104AA"/>
    <w:rsid w:val="00C1058F"/>
    <w:rsid w:val="00C10A26"/>
    <w:rsid w:val="00C110EE"/>
    <w:rsid w:val="00C123F6"/>
    <w:rsid w:val="00C1278C"/>
    <w:rsid w:val="00C13211"/>
    <w:rsid w:val="00C148F6"/>
    <w:rsid w:val="00C17CD8"/>
    <w:rsid w:val="00C20838"/>
    <w:rsid w:val="00C20C67"/>
    <w:rsid w:val="00C22DA6"/>
    <w:rsid w:val="00C246A9"/>
    <w:rsid w:val="00C25BBB"/>
    <w:rsid w:val="00C26DB6"/>
    <w:rsid w:val="00C278EA"/>
    <w:rsid w:val="00C279AB"/>
    <w:rsid w:val="00C30FDF"/>
    <w:rsid w:val="00C31849"/>
    <w:rsid w:val="00C33603"/>
    <w:rsid w:val="00C353EB"/>
    <w:rsid w:val="00C36757"/>
    <w:rsid w:val="00C36F0F"/>
    <w:rsid w:val="00C37644"/>
    <w:rsid w:val="00C41DBF"/>
    <w:rsid w:val="00C426D6"/>
    <w:rsid w:val="00C461C2"/>
    <w:rsid w:val="00C462C9"/>
    <w:rsid w:val="00C46494"/>
    <w:rsid w:val="00C47558"/>
    <w:rsid w:val="00C5129D"/>
    <w:rsid w:val="00C513E0"/>
    <w:rsid w:val="00C53850"/>
    <w:rsid w:val="00C555D5"/>
    <w:rsid w:val="00C5611A"/>
    <w:rsid w:val="00C564E9"/>
    <w:rsid w:val="00C56BAA"/>
    <w:rsid w:val="00C56E65"/>
    <w:rsid w:val="00C616A9"/>
    <w:rsid w:val="00C62025"/>
    <w:rsid w:val="00C63348"/>
    <w:rsid w:val="00C63F80"/>
    <w:rsid w:val="00C6461F"/>
    <w:rsid w:val="00C66193"/>
    <w:rsid w:val="00C713CF"/>
    <w:rsid w:val="00C7320C"/>
    <w:rsid w:val="00C75399"/>
    <w:rsid w:val="00C757CE"/>
    <w:rsid w:val="00C7711E"/>
    <w:rsid w:val="00C80819"/>
    <w:rsid w:val="00C82369"/>
    <w:rsid w:val="00C8495F"/>
    <w:rsid w:val="00C84AB9"/>
    <w:rsid w:val="00C85DF7"/>
    <w:rsid w:val="00C919D8"/>
    <w:rsid w:val="00C9264B"/>
    <w:rsid w:val="00C93675"/>
    <w:rsid w:val="00C93886"/>
    <w:rsid w:val="00C95FC3"/>
    <w:rsid w:val="00C963E4"/>
    <w:rsid w:val="00CA0D50"/>
    <w:rsid w:val="00CA20C1"/>
    <w:rsid w:val="00CA3DA4"/>
    <w:rsid w:val="00CA533F"/>
    <w:rsid w:val="00CA60E0"/>
    <w:rsid w:val="00CB054B"/>
    <w:rsid w:val="00CB067F"/>
    <w:rsid w:val="00CB08E8"/>
    <w:rsid w:val="00CB1623"/>
    <w:rsid w:val="00CB3066"/>
    <w:rsid w:val="00CB6CC5"/>
    <w:rsid w:val="00CC058A"/>
    <w:rsid w:val="00CC33AA"/>
    <w:rsid w:val="00CC4B52"/>
    <w:rsid w:val="00CC73D8"/>
    <w:rsid w:val="00CC79AA"/>
    <w:rsid w:val="00CD010D"/>
    <w:rsid w:val="00CD03C3"/>
    <w:rsid w:val="00CD1264"/>
    <w:rsid w:val="00CD14C3"/>
    <w:rsid w:val="00CD5F22"/>
    <w:rsid w:val="00CD6EE2"/>
    <w:rsid w:val="00CD6FEC"/>
    <w:rsid w:val="00CE04DF"/>
    <w:rsid w:val="00CE09DE"/>
    <w:rsid w:val="00CE0BAE"/>
    <w:rsid w:val="00CE1E64"/>
    <w:rsid w:val="00CE22A8"/>
    <w:rsid w:val="00CF296C"/>
    <w:rsid w:val="00CF3B13"/>
    <w:rsid w:val="00CF6550"/>
    <w:rsid w:val="00CF7ED1"/>
    <w:rsid w:val="00D00843"/>
    <w:rsid w:val="00D00ED7"/>
    <w:rsid w:val="00D03F0D"/>
    <w:rsid w:val="00D07FA1"/>
    <w:rsid w:val="00D10F8E"/>
    <w:rsid w:val="00D14083"/>
    <w:rsid w:val="00D14883"/>
    <w:rsid w:val="00D15D1E"/>
    <w:rsid w:val="00D15D29"/>
    <w:rsid w:val="00D16283"/>
    <w:rsid w:val="00D24140"/>
    <w:rsid w:val="00D24F98"/>
    <w:rsid w:val="00D254E8"/>
    <w:rsid w:val="00D30FC6"/>
    <w:rsid w:val="00D32DFD"/>
    <w:rsid w:val="00D33B00"/>
    <w:rsid w:val="00D34902"/>
    <w:rsid w:val="00D34B84"/>
    <w:rsid w:val="00D35A26"/>
    <w:rsid w:val="00D369EF"/>
    <w:rsid w:val="00D41084"/>
    <w:rsid w:val="00D41291"/>
    <w:rsid w:val="00D4145C"/>
    <w:rsid w:val="00D42583"/>
    <w:rsid w:val="00D43167"/>
    <w:rsid w:val="00D43931"/>
    <w:rsid w:val="00D45685"/>
    <w:rsid w:val="00D45913"/>
    <w:rsid w:val="00D46C89"/>
    <w:rsid w:val="00D5065A"/>
    <w:rsid w:val="00D5107D"/>
    <w:rsid w:val="00D524FE"/>
    <w:rsid w:val="00D54F2B"/>
    <w:rsid w:val="00D55243"/>
    <w:rsid w:val="00D55400"/>
    <w:rsid w:val="00D57100"/>
    <w:rsid w:val="00D57AEF"/>
    <w:rsid w:val="00D603D3"/>
    <w:rsid w:val="00D61123"/>
    <w:rsid w:val="00D63360"/>
    <w:rsid w:val="00D64087"/>
    <w:rsid w:val="00D673E1"/>
    <w:rsid w:val="00D6796A"/>
    <w:rsid w:val="00D67CF6"/>
    <w:rsid w:val="00D72D95"/>
    <w:rsid w:val="00D7555C"/>
    <w:rsid w:val="00D76BC1"/>
    <w:rsid w:val="00D77C65"/>
    <w:rsid w:val="00D83DE8"/>
    <w:rsid w:val="00D8601B"/>
    <w:rsid w:val="00D86332"/>
    <w:rsid w:val="00D87E33"/>
    <w:rsid w:val="00D901FE"/>
    <w:rsid w:val="00D9155F"/>
    <w:rsid w:val="00D91878"/>
    <w:rsid w:val="00D93ED8"/>
    <w:rsid w:val="00D949DF"/>
    <w:rsid w:val="00DA140C"/>
    <w:rsid w:val="00DA16C7"/>
    <w:rsid w:val="00DA19BB"/>
    <w:rsid w:val="00DA650D"/>
    <w:rsid w:val="00DA670A"/>
    <w:rsid w:val="00DB1576"/>
    <w:rsid w:val="00DB4233"/>
    <w:rsid w:val="00DC4724"/>
    <w:rsid w:val="00DC56D4"/>
    <w:rsid w:val="00DC602A"/>
    <w:rsid w:val="00DC7D11"/>
    <w:rsid w:val="00DD0980"/>
    <w:rsid w:val="00DD0F18"/>
    <w:rsid w:val="00DD43F2"/>
    <w:rsid w:val="00DD5819"/>
    <w:rsid w:val="00DD5929"/>
    <w:rsid w:val="00DD6611"/>
    <w:rsid w:val="00DE004F"/>
    <w:rsid w:val="00DE178C"/>
    <w:rsid w:val="00DE1885"/>
    <w:rsid w:val="00DE2BD8"/>
    <w:rsid w:val="00DE43B5"/>
    <w:rsid w:val="00DE4795"/>
    <w:rsid w:val="00DE6254"/>
    <w:rsid w:val="00DE6292"/>
    <w:rsid w:val="00DE7585"/>
    <w:rsid w:val="00DF05B9"/>
    <w:rsid w:val="00DF2986"/>
    <w:rsid w:val="00DF3397"/>
    <w:rsid w:val="00DF342D"/>
    <w:rsid w:val="00DF5778"/>
    <w:rsid w:val="00DF6703"/>
    <w:rsid w:val="00DF67F7"/>
    <w:rsid w:val="00E025AC"/>
    <w:rsid w:val="00E04293"/>
    <w:rsid w:val="00E04F9D"/>
    <w:rsid w:val="00E0731E"/>
    <w:rsid w:val="00E130F4"/>
    <w:rsid w:val="00E13467"/>
    <w:rsid w:val="00E141BC"/>
    <w:rsid w:val="00E16FDF"/>
    <w:rsid w:val="00E17331"/>
    <w:rsid w:val="00E17812"/>
    <w:rsid w:val="00E2012A"/>
    <w:rsid w:val="00E20972"/>
    <w:rsid w:val="00E21904"/>
    <w:rsid w:val="00E22649"/>
    <w:rsid w:val="00E22671"/>
    <w:rsid w:val="00E238B4"/>
    <w:rsid w:val="00E26C0C"/>
    <w:rsid w:val="00E302CD"/>
    <w:rsid w:val="00E31ECF"/>
    <w:rsid w:val="00E326B7"/>
    <w:rsid w:val="00E33FDB"/>
    <w:rsid w:val="00E34F6E"/>
    <w:rsid w:val="00E37D8A"/>
    <w:rsid w:val="00E37FC4"/>
    <w:rsid w:val="00E40CCA"/>
    <w:rsid w:val="00E44F98"/>
    <w:rsid w:val="00E4664A"/>
    <w:rsid w:val="00E46754"/>
    <w:rsid w:val="00E46DA8"/>
    <w:rsid w:val="00E47195"/>
    <w:rsid w:val="00E477BD"/>
    <w:rsid w:val="00E50447"/>
    <w:rsid w:val="00E53395"/>
    <w:rsid w:val="00E56FDA"/>
    <w:rsid w:val="00E57A54"/>
    <w:rsid w:val="00E71688"/>
    <w:rsid w:val="00E71A1D"/>
    <w:rsid w:val="00E71BA4"/>
    <w:rsid w:val="00E7238D"/>
    <w:rsid w:val="00E724FD"/>
    <w:rsid w:val="00E7280E"/>
    <w:rsid w:val="00E754B5"/>
    <w:rsid w:val="00E800FE"/>
    <w:rsid w:val="00E80F8F"/>
    <w:rsid w:val="00E810DB"/>
    <w:rsid w:val="00E822E2"/>
    <w:rsid w:val="00E879B9"/>
    <w:rsid w:val="00E87EC1"/>
    <w:rsid w:val="00E919DE"/>
    <w:rsid w:val="00E93F76"/>
    <w:rsid w:val="00E9684C"/>
    <w:rsid w:val="00E9694B"/>
    <w:rsid w:val="00E975DF"/>
    <w:rsid w:val="00E97791"/>
    <w:rsid w:val="00E97DE1"/>
    <w:rsid w:val="00EA0979"/>
    <w:rsid w:val="00EA186C"/>
    <w:rsid w:val="00EA4EE2"/>
    <w:rsid w:val="00EA513E"/>
    <w:rsid w:val="00EA6CDE"/>
    <w:rsid w:val="00EB0886"/>
    <w:rsid w:val="00EB1429"/>
    <w:rsid w:val="00EB454D"/>
    <w:rsid w:val="00EB4F4E"/>
    <w:rsid w:val="00EB5F4F"/>
    <w:rsid w:val="00EB607E"/>
    <w:rsid w:val="00EB6418"/>
    <w:rsid w:val="00EB79A8"/>
    <w:rsid w:val="00EB7BA1"/>
    <w:rsid w:val="00EC02EE"/>
    <w:rsid w:val="00EC6B41"/>
    <w:rsid w:val="00EC7D76"/>
    <w:rsid w:val="00ED0FAF"/>
    <w:rsid w:val="00ED26D6"/>
    <w:rsid w:val="00ED3639"/>
    <w:rsid w:val="00ED3EB0"/>
    <w:rsid w:val="00ED7FE4"/>
    <w:rsid w:val="00EE20F0"/>
    <w:rsid w:val="00EE3F68"/>
    <w:rsid w:val="00EE46A0"/>
    <w:rsid w:val="00EE47F3"/>
    <w:rsid w:val="00EE49B9"/>
    <w:rsid w:val="00EE49EB"/>
    <w:rsid w:val="00EE5501"/>
    <w:rsid w:val="00EE6163"/>
    <w:rsid w:val="00EF0B79"/>
    <w:rsid w:val="00EF5715"/>
    <w:rsid w:val="00EF713F"/>
    <w:rsid w:val="00F01ACE"/>
    <w:rsid w:val="00F033B9"/>
    <w:rsid w:val="00F03E45"/>
    <w:rsid w:val="00F04A33"/>
    <w:rsid w:val="00F060E9"/>
    <w:rsid w:val="00F0719B"/>
    <w:rsid w:val="00F1008D"/>
    <w:rsid w:val="00F1188A"/>
    <w:rsid w:val="00F11CB8"/>
    <w:rsid w:val="00F1203B"/>
    <w:rsid w:val="00F124F0"/>
    <w:rsid w:val="00F12F1F"/>
    <w:rsid w:val="00F13DF5"/>
    <w:rsid w:val="00F15226"/>
    <w:rsid w:val="00F158DA"/>
    <w:rsid w:val="00F15BE1"/>
    <w:rsid w:val="00F167AA"/>
    <w:rsid w:val="00F20E80"/>
    <w:rsid w:val="00F21D39"/>
    <w:rsid w:val="00F228EE"/>
    <w:rsid w:val="00F23AEC"/>
    <w:rsid w:val="00F24FC3"/>
    <w:rsid w:val="00F2589C"/>
    <w:rsid w:val="00F31417"/>
    <w:rsid w:val="00F335E3"/>
    <w:rsid w:val="00F33C95"/>
    <w:rsid w:val="00F3442A"/>
    <w:rsid w:val="00F34A68"/>
    <w:rsid w:val="00F34F45"/>
    <w:rsid w:val="00F35B3C"/>
    <w:rsid w:val="00F36723"/>
    <w:rsid w:val="00F36DC9"/>
    <w:rsid w:val="00F37A38"/>
    <w:rsid w:val="00F37AA3"/>
    <w:rsid w:val="00F37C68"/>
    <w:rsid w:val="00F412B4"/>
    <w:rsid w:val="00F44903"/>
    <w:rsid w:val="00F45214"/>
    <w:rsid w:val="00F465E7"/>
    <w:rsid w:val="00F51FBD"/>
    <w:rsid w:val="00F520DF"/>
    <w:rsid w:val="00F525AB"/>
    <w:rsid w:val="00F5321A"/>
    <w:rsid w:val="00F54CAD"/>
    <w:rsid w:val="00F55656"/>
    <w:rsid w:val="00F61633"/>
    <w:rsid w:val="00F632C1"/>
    <w:rsid w:val="00F63A0E"/>
    <w:rsid w:val="00F640B9"/>
    <w:rsid w:val="00F658F9"/>
    <w:rsid w:val="00F66065"/>
    <w:rsid w:val="00F66171"/>
    <w:rsid w:val="00F672DA"/>
    <w:rsid w:val="00F73AE1"/>
    <w:rsid w:val="00F74BC3"/>
    <w:rsid w:val="00F74F5B"/>
    <w:rsid w:val="00F76D12"/>
    <w:rsid w:val="00F77263"/>
    <w:rsid w:val="00F80170"/>
    <w:rsid w:val="00F80A9D"/>
    <w:rsid w:val="00F81AE8"/>
    <w:rsid w:val="00F8217C"/>
    <w:rsid w:val="00F82C97"/>
    <w:rsid w:val="00F832E1"/>
    <w:rsid w:val="00F84DAC"/>
    <w:rsid w:val="00F854C1"/>
    <w:rsid w:val="00F85703"/>
    <w:rsid w:val="00F86EA2"/>
    <w:rsid w:val="00F9018A"/>
    <w:rsid w:val="00F90A69"/>
    <w:rsid w:val="00F915EE"/>
    <w:rsid w:val="00F91AC8"/>
    <w:rsid w:val="00F92394"/>
    <w:rsid w:val="00F92483"/>
    <w:rsid w:val="00F9436C"/>
    <w:rsid w:val="00F94B2F"/>
    <w:rsid w:val="00F95A60"/>
    <w:rsid w:val="00F95E30"/>
    <w:rsid w:val="00F96523"/>
    <w:rsid w:val="00FA3D93"/>
    <w:rsid w:val="00FA58AB"/>
    <w:rsid w:val="00FA6ECB"/>
    <w:rsid w:val="00FA70BB"/>
    <w:rsid w:val="00FB1F6B"/>
    <w:rsid w:val="00FB21C1"/>
    <w:rsid w:val="00FB3A19"/>
    <w:rsid w:val="00FB4640"/>
    <w:rsid w:val="00FB5853"/>
    <w:rsid w:val="00FC1069"/>
    <w:rsid w:val="00FC234C"/>
    <w:rsid w:val="00FC392A"/>
    <w:rsid w:val="00FC3F2C"/>
    <w:rsid w:val="00FC41C9"/>
    <w:rsid w:val="00FC4F0B"/>
    <w:rsid w:val="00FC5B38"/>
    <w:rsid w:val="00FC6B07"/>
    <w:rsid w:val="00FC6CB8"/>
    <w:rsid w:val="00FD0210"/>
    <w:rsid w:val="00FD23F0"/>
    <w:rsid w:val="00FD3F61"/>
    <w:rsid w:val="00FD4301"/>
    <w:rsid w:val="00FD499D"/>
    <w:rsid w:val="00FD4ED9"/>
    <w:rsid w:val="00FE18D1"/>
    <w:rsid w:val="00FE1914"/>
    <w:rsid w:val="00FE2FF4"/>
    <w:rsid w:val="00FE3954"/>
    <w:rsid w:val="00FE537E"/>
    <w:rsid w:val="00FE576B"/>
    <w:rsid w:val="00FE5BB6"/>
    <w:rsid w:val="00FF2B3B"/>
    <w:rsid w:val="00FF2E6C"/>
    <w:rsid w:val="00FF2FEE"/>
    <w:rsid w:val="00FF376F"/>
    <w:rsid w:val="00FF3AA7"/>
    <w:rsid w:val="00FF4486"/>
    <w:rsid w:val="00FF4896"/>
    <w:rsid w:val="00FF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AC7CD"/>
  <w14:defaultImageDpi w14:val="0"/>
  <w15:docId w15:val="{428AE1E4-DC89-4B6E-8AFC-CD9DC09F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D8"/>
    <w:rPr>
      <w:rFonts w:ascii="Arial" w:hAnsi="Arial"/>
      <w:sz w:val="24"/>
    </w:rPr>
  </w:style>
  <w:style w:type="paragraph" w:styleId="Heading2">
    <w:name w:val="heading 2"/>
    <w:basedOn w:val="Normal"/>
    <w:next w:val="Normal"/>
    <w:link w:val="Heading2Char"/>
    <w:uiPriority w:val="9"/>
    <w:semiHidden/>
    <w:unhideWhenUsed/>
    <w:qFormat/>
    <w:locked/>
    <w:rsid w:val="0077384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locked/>
    <w:rsid w:val="0077384F"/>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C17CD8"/>
    <w:pPr>
      <w:keepNext/>
      <w:outlineLvl w:val="5"/>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7384F"/>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77384F"/>
    <w:rPr>
      <w:rFonts w:ascii="Cambria" w:hAnsi="Cambria" w:cs="Times New Roman"/>
      <w:b/>
      <w:bCs/>
      <w:color w:val="4F81BD"/>
      <w:sz w:val="20"/>
      <w:szCs w:val="20"/>
    </w:rPr>
  </w:style>
  <w:style w:type="character" w:customStyle="1" w:styleId="Heading6Char">
    <w:name w:val="Heading 6 Char"/>
    <w:basedOn w:val="DefaultParagraphFont"/>
    <w:link w:val="Heading6"/>
    <w:uiPriority w:val="99"/>
    <w:semiHidden/>
    <w:locked/>
    <w:rsid w:val="00A70443"/>
    <w:rPr>
      <w:rFonts w:ascii="Calibri" w:hAnsi="Calibri" w:cs="Times New Roman"/>
      <w:b/>
      <w:bCs/>
    </w:rPr>
  </w:style>
  <w:style w:type="paragraph" w:styleId="Header">
    <w:name w:val="header"/>
    <w:basedOn w:val="Normal"/>
    <w:link w:val="HeaderChar"/>
    <w:uiPriority w:val="99"/>
    <w:rsid w:val="00C17CD8"/>
    <w:rPr>
      <w:rFonts w:ascii="Universal" w:hAnsi="Universal"/>
    </w:rPr>
  </w:style>
  <w:style w:type="character" w:customStyle="1" w:styleId="HeaderChar">
    <w:name w:val="Header Char"/>
    <w:basedOn w:val="DefaultParagraphFont"/>
    <w:link w:val="Header"/>
    <w:uiPriority w:val="99"/>
    <w:locked/>
    <w:rsid w:val="00A70443"/>
    <w:rPr>
      <w:rFonts w:ascii="Arial" w:hAnsi="Arial" w:cs="Times New Roman"/>
      <w:sz w:val="20"/>
      <w:szCs w:val="20"/>
    </w:rPr>
  </w:style>
  <w:style w:type="paragraph" w:styleId="Footer">
    <w:name w:val="footer"/>
    <w:basedOn w:val="Normal"/>
    <w:link w:val="FooterChar"/>
    <w:uiPriority w:val="99"/>
    <w:rsid w:val="00C17CD8"/>
    <w:pPr>
      <w:tabs>
        <w:tab w:val="center" w:pos="4153"/>
        <w:tab w:val="right" w:pos="8306"/>
      </w:tabs>
    </w:pPr>
  </w:style>
  <w:style w:type="character" w:customStyle="1" w:styleId="FooterChar">
    <w:name w:val="Footer Char"/>
    <w:basedOn w:val="DefaultParagraphFont"/>
    <w:link w:val="Footer"/>
    <w:uiPriority w:val="99"/>
    <w:locked/>
    <w:rsid w:val="00A70443"/>
    <w:rPr>
      <w:rFonts w:ascii="Arial" w:hAnsi="Arial" w:cs="Times New Roman"/>
      <w:sz w:val="20"/>
      <w:szCs w:val="20"/>
    </w:rPr>
  </w:style>
  <w:style w:type="character" w:styleId="PageNumber">
    <w:name w:val="page number"/>
    <w:basedOn w:val="DefaultParagraphFont"/>
    <w:uiPriority w:val="99"/>
    <w:rsid w:val="00C17CD8"/>
    <w:rPr>
      <w:rFonts w:cs="Times New Roman"/>
    </w:rPr>
  </w:style>
  <w:style w:type="paragraph" w:styleId="PlainText">
    <w:name w:val="Plain Text"/>
    <w:basedOn w:val="Normal"/>
    <w:link w:val="PlainTextChar"/>
    <w:uiPriority w:val="99"/>
    <w:semiHidden/>
    <w:rsid w:val="00C17CD8"/>
    <w:rPr>
      <w:rFonts w:ascii="Consolas" w:hAnsi="Consolas"/>
      <w:sz w:val="21"/>
      <w:szCs w:val="21"/>
    </w:rPr>
  </w:style>
  <w:style w:type="character" w:customStyle="1" w:styleId="PlainTextChar">
    <w:name w:val="Plain Text Char"/>
    <w:basedOn w:val="DefaultParagraphFont"/>
    <w:link w:val="PlainText"/>
    <w:uiPriority w:val="99"/>
    <w:semiHidden/>
    <w:locked/>
    <w:rsid w:val="00C17CD8"/>
    <w:rPr>
      <w:rFonts w:ascii="Consolas" w:hAnsi="Consolas" w:cs="Times New Roman"/>
      <w:sz w:val="21"/>
      <w:szCs w:val="21"/>
      <w:lang w:val="en-GB" w:eastAsia="en-GB" w:bidi="ar-SA"/>
    </w:rPr>
  </w:style>
  <w:style w:type="paragraph" w:styleId="BalloonText">
    <w:name w:val="Balloon Text"/>
    <w:basedOn w:val="Normal"/>
    <w:link w:val="BalloonTextChar"/>
    <w:uiPriority w:val="99"/>
    <w:semiHidden/>
    <w:rsid w:val="00F55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443"/>
    <w:rPr>
      <w:rFonts w:cs="Times New Roman"/>
      <w:sz w:val="2"/>
    </w:rPr>
  </w:style>
  <w:style w:type="character" w:styleId="CommentReference">
    <w:name w:val="annotation reference"/>
    <w:basedOn w:val="DefaultParagraphFont"/>
    <w:uiPriority w:val="99"/>
    <w:semiHidden/>
    <w:rsid w:val="00D46C89"/>
    <w:rPr>
      <w:rFonts w:cs="Times New Roman"/>
      <w:sz w:val="16"/>
      <w:szCs w:val="16"/>
    </w:rPr>
  </w:style>
  <w:style w:type="paragraph" w:styleId="CommentText">
    <w:name w:val="annotation text"/>
    <w:basedOn w:val="Normal"/>
    <w:link w:val="CommentTextChar"/>
    <w:uiPriority w:val="99"/>
    <w:semiHidden/>
    <w:rsid w:val="00D46C89"/>
    <w:rPr>
      <w:sz w:val="20"/>
    </w:rPr>
  </w:style>
  <w:style w:type="character" w:customStyle="1" w:styleId="CommentTextChar">
    <w:name w:val="Comment Text Char"/>
    <w:basedOn w:val="DefaultParagraphFont"/>
    <w:link w:val="CommentText"/>
    <w:uiPriority w:val="99"/>
    <w:semiHidden/>
    <w:locked/>
    <w:rsid w:val="00A7044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46C89"/>
    <w:rPr>
      <w:b/>
      <w:bCs/>
    </w:rPr>
  </w:style>
  <w:style w:type="character" w:customStyle="1" w:styleId="CommentSubjectChar">
    <w:name w:val="Comment Subject Char"/>
    <w:basedOn w:val="CommentTextChar"/>
    <w:link w:val="CommentSubject"/>
    <w:uiPriority w:val="99"/>
    <w:semiHidden/>
    <w:locked/>
    <w:rsid w:val="00A70443"/>
    <w:rPr>
      <w:rFonts w:ascii="Arial" w:hAnsi="Arial" w:cs="Times New Roman"/>
      <w:b/>
      <w:bCs/>
      <w:sz w:val="20"/>
      <w:szCs w:val="20"/>
    </w:rPr>
  </w:style>
  <w:style w:type="table" w:styleId="TableGrid">
    <w:name w:val="Table Grid"/>
    <w:basedOn w:val="TableNormal"/>
    <w:uiPriority w:val="59"/>
    <w:rsid w:val="0027412A"/>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6DA8"/>
    <w:pPr>
      <w:spacing w:after="200" w:line="276" w:lineRule="auto"/>
      <w:ind w:left="720"/>
      <w:contextualSpacing/>
    </w:pPr>
    <w:rPr>
      <w:szCs w:val="22"/>
      <w:lang w:eastAsia="en-US"/>
    </w:rPr>
  </w:style>
  <w:style w:type="table" w:styleId="LightShading-Accent2">
    <w:name w:val="Light Shading Accent 2"/>
    <w:basedOn w:val="TableNormal"/>
    <w:uiPriority w:val="60"/>
    <w:rsid w:val="00DF6703"/>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Hyperlink">
    <w:name w:val="Hyperlink"/>
    <w:basedOn w:val="DefaultParagraphFont"/>
    <w:uiPriority w:val="99"/>
    <w:unhideWhenUsed/>
    <w:rsid w:val="00FE5BB6"/>
    <w:rPr>
      <w:rFonts w:cs="Times New Roman"/>
      <w:color w:val="0000FF"/>
      <w:u w:val="single"/>
    </w:rPr>
  </w:style>
  <w:style w:type="character" w:styleId="FollowedHyperlink">
    <w:name w:val="FollowedHyperlink"/>
    <w:basedOn w:val="DefaultParagraphFont"/>
    <w:uiPriority w:val="99"/>
    <w:semiHidden/>
    <w:unhideWhenUsed/>
    <w:rsid w:val="003D64C1"/>
    <w:rPr>
      <w:rFonts w:cs="Times New Roman"/>
      <w:color w:val="800080"/>
      <w:u w:val="single"/>
    </w:rPr>
  </w:style>
  <w:style w:type="paragraph" w:styleId="Revision">
    <w:name w:val="Revision"/>
    <w:hidden/>
    <w:uiPriority w:val="99"/>
    <w:semiHidden/>
    <w:rsid w:val="00AD6830"/>
    <w:rPr>
      <w:rFonts w:ascii="Arial" w:hAnsi="Arial"/>
      <w:sz w:val="24"/>
    </w:rPr>
  </w:style>
  <w:style w:type="table" w:customStyle="1" w:styleId="TableGrid1">
    <w:name w:val="Table Grid1"/>
    <w:basedOn w:val="TableNormal"/>
    <w:next w:val="TableGrid"/>
    <w:uiPriority w:val="59"/>
    <w:rsid w:val="00F0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0C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152D50"/>
    <w:pPr>
      <w:spacing w:after="135" w:line="270" w:lineRule="atLeast"/>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7447">
      <w:bodyDiv w:val="1"/>
      <w:marLeft w:val="0"/>
      <w:marRight w:val="0"/>
      <w:marTop w:val="0"/>
      <w:marBottom w:val="0"/>
      <w:divBdr>
        <w:top w:val="none" w:sz="0" w:space="0" w:color="auto"/>
        <w:left w:val="none" w:sz="0" w:space="0" w:color="auto"/>
        <w:bottom w:val="none" w:sz="0" w:space="0" w:color="auto"/>
        <w:right w:val="none" w:sz="0" w:space="0" w:color="auto"/>
      </w:divBdr>
    </w:div>
    <w:div w:id="226649042">
      <w:bodyDiv w:val="1"/>
      <w:marLeft w:val="0"/>
      <w:marRight w:val="0"/>
      <w:marTop w:val="0"/>
      <w:marBottom w:val="0"/>
      <w:divBdr>
        <w:top w:val="none" w:sz="0" w:space="0" w:color="auto"/>
        <w:left w:val="none" w:sz="0" w:space="0" w:color="auto"/>
        <w:bottom w:val="none" w:sz="0" w:space="0" w:color="auto"/>
        <w:right w:val="none" w:sz="0" w:space="0" w:color="auto"/>
      </w:divBdr>
    </w:div>
    <w:div w:id="477916587">
      <w:bodyDiv w:val="1"/>
      <w:marLeft w:val="0"/>
      <w:marRight w:val="0"/>
      <w:marTop w:val="0"/>
      <w:marBottom w:val="0"/>
      <w:divBdr>
        <w:top w:val="none" w:sz="0" w:space="0" w:color="auto"/>
        <w:left w:val="none" w:sz="0" w:space="0" w:color="auto"/>
        <w:bottom w:val="none" w:sz="0" w:space="0" w:color="auto"/>
        <w:right w:val="none" w:sz="0" w:space="0" w:color="auto"/>
      </w:divBdr>
    </w:div>
    <w:div w:id="573468589">
      <w:bodyDiv w:val="1"/>
      <w:marLeft w:val="0"/>
      <w:marRight w:val="0"/>
      <w:marTop w:val="0"/>
      <w:marBottom w:val="0"/>
      <w:divBdr>
        <w:top w:val="none" w:sz="0" w:space="0" w:color="auto"/>
        <w:left w:val="none" w:sz="0" w:space="0" w:color="auto"/>
        <w:bottom w:val="none" w:sz="0" w:space="0" w:color="auto"/>
        <w:right w:val="none" w:sz="0" w:space="0" w:color="auto"/>
      </w:divBdr>
    </w:div>
    <w:div w:id="817914606">
      <w:bodyDiv w:val="1"/>
      <w:marLeft w:val="0"/>
      <w:marRight w:val="0"/>
      <w:marTop w:val="0"/>
      <w:marBottom w:val="0"/>
      <w:divBdr>
        <w:top w:val="none" w:sz="0" w:space="0" w:color="auto"/>
        <w:left w:val="none" w:sz="0" w:space="0" w:color="auto"/>
        <w:bottom w:val="none" w:sz="0" w:space="0" w:color="auto"/>
        <w:right w:val="none" w:sz="0" w:space="0" w:color="auto"/>
      </w:divBdr>
    </w:div>
    <w:div w:id="954679129">
      <w:marLeft w:val="0"/>
      <w:marRight w:val="0"/>
      <w:marTop w:val="0"/>
      <w:marBottom w:val="0"/>
      <w:divBdr>
        <w:top w:val="none" w:sz="0" w:space="0" w:color="auto"/>
        <w:left w:val="none" w:sz="0" w:space="0" w:color="auto"/>
        <w:bottom w:val="none" w:sz="0" w:space="0" w:color="auto"/>
        <w:right w:val="none" w:sz="0" w:space="0" w:color="auto"/>
      </w:divBdr>
    </w:div>
    <w:div w:id="954679130">
      <w:marLeft w:val="0"/>
      <w:marRight w:val="0"/>
      <w:marTop w:val="0"/>
      <w:marBottom w:val="0"/>
      <w:divBdr>
        <w:top w:val="none" w:sz="0" w:space="0" w:color="auto"/>
        <w:left w:val="none" w:sz="0" w:space="0" w:color="auto"/>
        <w:bottom w:val="none" w:sz="0" w:space="0" w:color="auto"/>
        <w:right w:val="none" w:sz="0" w:space="0" w:color="auto"/>
      </w:divBdr>
    </w:div>
    <w:div w:id="954679131">
      <w:marLeft w:val="0"/>
      <w:marRight w:val="0"/>
      <w:marTop w:val="0"/>
      <w:marBottom w:val="0"/>
      <w:divBdr>
        <w:top w:val="none" w:sz="0" w:space="0" w:color="auto"/>
        <w:left w:val="none" w:sz="0" w:space="0" w:color="auto"/>
        <w:bottom w:val="none" w:sz="0" w:space="0" w:color="auto"/>
        <w:right w:val="none" w:sz="0" w:space="0" w:color="auto"/>
      </w:divBdr>
    </w:div>
    <w:div w:id="954679132">
      <w:marLeft w:val="0"/>
      <w:marRight w:val="0"/>
      <w:marTop w:val="0"/>
      <w:marBottom w:val="0"/>
      <w:divBdr>
        <w:top w:val="none" w:sz="0" w:space="0" w:color="auto"/>
        <w:left w:val="none" w:sz="0" w:space="0" w:color="auto"/>
        <w:bottom w:val="none" w:sz="0" w:space="0" w:color="auto"/>
        <w:right w:val="none" w:sz="0" w:space="0" w:color="auto"/>
      </w:divBdr>
    </w:div>
    <w:div w:id="954679133">
      <w:marLeft w:val="0"/>
      <w:marRight w:val="0"/>
      <w:marTop w:val="0"/>
      <w:marBottom w:val="0"/>
      <w:divBdr>
        <w:top w:val="none" w:sz="0" w:space="0" w:color="auto"/>
        <w:left w:val="none" w:sz="0" w:space="0" w:color="auto"/>
        <w:bottom w:val="none" w:sz="0" w:space="0" w:color="auto"/>
        <w:right w:val="none" w:sz="0" w:space="0" w:color="auto"/>
      </w:divBdr>
    </w:div>
    <w:div w:id="954679134">
      <w:marLeft w:val="0"/>
      <w:marRight w:val="0"/>
      <w:marTop w:val="0"/>
      <w:marBottom w:val="0"/>
      <w:divBdr>
        <w:top w:val="none" w:sz="0" w:space="0" w:color="auto"/>
        <w:left w:val="none" w:sz="0" w:space="0" w:color="auto"/>
        <w:bottom w:val="none" w:sz="0" w:space="0" w:color="auto"/>
        <w:right w:val="none" w:sz="0" w:space="0" w:color="auto"/>
      </w:divBdr>
    </w:div>
    <w:div w:id="954679135">
      <w:marLeft w:val="0"/>
      <w:marRight w:val="0"/>
      <w:marTop w:val="0"/>
      <w:marBottom w:val="0"/>
      <w:divBdr>
        <w:top w:val="none" w:sz="0" w:space="0" w:color="auto"/>
        <w:left w:val="none" w:sz="0" w:space="0" w:color="auto"/>
        <w:bottom w:val="none" w:sz="0" w:space="0" w:color="auto"/>
        <w:right w:val="none" w:sz="0" w:space="0" w:color="auto"/>
      </w:divBdr>
    </w:div>
    <w:div w:id="954679136">
      <w:marLeft w:val="0"/>
      <w:marRight w:val="0"/>
      <w:marTop w:val="0"/>
      <w:marBottom w:val="0"/>
      <w:divBdr>
        <w:top w:val="none" w:sz="0" w:space="0" w:color="auto"/>
        <w:left w:val="none" w:sz="0" w:space="0" w:color="auto"/>
        <w:bottom w:val="none" w:sz="0" w:space="0" w:color="auto"/>
        <w:right w:val="none" w:sz="0" w:space="0" w:color="auto"/>
      </w:divBdr>
    </w:div>
    <w:div w:id="954679137">
      <w:marLeft w:val="0"/>
      <w:marRight w:val="0"/>
      <w:marTop w:val="0"/>
      <w:marBottom w:val="0"/>
      <w:divBdr>
        <w:top w:val="none" w:sz="0" w:space="0" w:color="auto"/>
        <w:left w:val="none" w:sz="0" w:space="0" w:color="auto"/>
        <w:bottom w:val="none" w:sz="0" w:space="0" w:color="auto"/>
        <w:right w:val="none" w:sz="0" w:space="0" w:color="auto"/>
      </w:divBdr>
    </w:div>
    <w:div w:id="954679138">
      <w:marLeft w:val="0"/>
      <w:marRight w:val="0"/>
      <w:marTop w:val="0"/>
      <w:marBottom w:val="0"/>
      <w:divBdr>
        <w:top w:val="none" w:sz="0" w:space="0" w:color="auto"/>
        <w:left w:val="none" w:sz="0" w:space="0" w:color="auto"/>
        <w:bottom w:val="none" w:sz="0" w:space="0" w:color="auto"/>
        <w:right w:val="none" w:sz="0" w:space="0" w:color="auto"/>
      </w:divBdr>
    </w:div>
    <w:div w:id="954679139">
      <w:marLeft w:val="0"/>
      <w:marRight w:val="0"/>
      <w:marTop w:val="0"/>
      <w:marBottom w:val="0"/>
      <w:divBdr>
        <w:top w:val="none" w:sz="0" w:space="0" w:color="auto"/>
        <w:left w:val="none" w:sz="0" w:space="0" w:color="auto"/>
        <w:bottom w:val="none" w:sz="0" w:space="0" w:color="auto"/>
        <w:right w:val="none" w:sz="0" w:space="0" w:color="auto"/>
      </w:divBdr>
    </w:div>
    <w:div w:id="954679140">
      <w:marLeft w:val="0"/>
      <w:marRight w:val="0"/>
      <w:marTop w:val="0"/>
      <w:marBottom w:val="0"/>
      <w:divBdr>
        <w:top w:val="none" w:sz="0" w:space="0" w:color="auto"/>
        <w:left w:val="none" w:sz="0" w:space="0" w:color="auto"/>
        <w:bottom w:val="none" w:sz="0" w:space="0" w:color="auto"/>
        <w:right w:val="none" w:sz="0" w:space="0" w:color="auto"/>
      </w:divBdr>
    </w:div>
    <w:div w:id="954679141">
      <w:marLeft w:val="0"/>
      <w:marRight w:val="0"/>
      <w:marTop w:val="0"/>
      <w:marBottom w:val="0"/>
      <w:divBdr>
        <w:top w:val="none" w:sz="0" w:space="0" w:color="auto"/>
        <w:left w:val="none" w:sz="0" w:space="0" w:color="auto"/>
        <w:bottom w:val="none" w:sz="0" w:space="0" w:color="auto"/>
        <w:right w:val="none" w:sz="0" w:space="0" w:color="auto"/>
      </w:divBdr>
    </w:div>
    <w:div w:id="954679142">
      <w:marLeft w:val="0"/>
      <w:marRight w:val="0"/>
      <w:marTop w:val="0"/>
      <w:marBottom w:val="0"/>
      <w:divBdr>
        <w:top w:val="none" w:sz="0" w:space="0" w:color="auto"/>
        <w:left w:val="none" w:sz="0" w:space="0" w:color="auto"/>
        <w:bottom w:val="none" w:sz="0" w:space="0" w:color="auto"/>
        <w:right w:val="none" w:sz="0" w:space="0" w:color="auto"/>
      </w:divBdr>
    </w:div>
    <w:div w:id="954679143">
      <w:marLeft w:val="0"/>
      <w:marRight w:val="0"/>
      <w:marTop w:val="0"/>
      <w:marBottom w:val="0"/>
      <w:divBdr>
        <w:top w:val="none" w:sz="0" w:space="0" w:color="auto"/>
        <w:left w:val="none" w:sz="0" w:space="0" w:color="auto"/>
        <w:bottom w:val="none" w:sz="0" w:space="0" w:color="auto"/>
        <w:right w:val="none" w:sz="0" w:space="0" w:color="auto"/>
      </w:divBdr>
    </w:div>
    <w:div w:id="954679144">
      <w:marLeft w:val="0"/>
      <w:marRight w:val="0"/>
      <w:marTop w:val="0"/>
      <w:marBottom w:val="0"/>
      <w:divBdr>
        <w:top w:val="none" w:sz="0" w:space="0" w:color="auto"/>
        <w:left w:val="none" w:sz="0" w:space="0" w:color="auto"/>
        <w:bottom w:val="none" w:sz="0" w:space="0" w:color="auto"/>
        <w:right w:val="none" w:sz="0" w:space="0" w:color="auto"/>
      </w:divBdr>
    </w:div>
    <w:div w:id="954679145">
      <w:marLeft w:val="0"/>
      <w:marRight w:val="0"/>
      <w:marTop w:val="0"/>
      <w:marBottom w:val="0"/>
      <w:divBdr>
        <w:top w:val="none" w:sz="0" w:space="0" w:color="auto"/>
        <w:left w:val="none" w:sz="0" w:space="0" w:color="auto"/>
        <w:bottom w:val="none" w:sz="0" w:space="0" w:color="auto"/>
        <w:right w:val="none" w:sz="0" w:space="0" w:color="auto"/>
      </w:divBdr>
    </w:div>
    <w:div w:id="954679146">
      <w:marLeft w:val="0"/>
      <w:marRight w:val="0"/>
      <w:marTop w:val="0"/>
      <w:marBottom w:val="0"/>
      <w:divBdr>
        <w:top w:val="none" w:sz="0" w:space="0" w:color="auto"/>
        <w:left w:val="none" w:sz="0" w:space="0" w:color="auto"/>
        <w:bottom w:val="none" w:sz="0" w:space="0" w:color="auto"/>
        <w:right w:val="none" w:sz="0" w:space="0" w:color="auto"/>
      </w:divBdr>
    </w:div>
    <w:div w:id="954679147">
      <w:marLeft w:val="0"/>
      <w:marRight w:val="0"/>
      <w:marTop w:val="0"/>
      <w:marBottom w:val="0"/>
      <w:divBdr>
        <w:top w:val="none" w:sz="0" w:space="0" w:color="auto"/>
        <w:left w:val="none" w:sz="0" w:space="0" w:color="auto"/>
        <w:bottom w:val="none" w:sz="0" w:space="0" w:color="auto"/>
        <w:right w:val="none" w:sz="0" w:space="0" w:color="auto"/>
      </w:divBdr>
    </w:div>
    <w:div w:id="954679148">
      <w:marLeft w:val="0"/>
      <w:marRight w:val="0"/>
      <w:marTop w:val="0"/>
      <w:marBottom w:val="0"/>
      <w:divBdr>
        <w:top w:val="none" w:sz="0" w:space="0" w:color="auto"/>
        <w:left w:val="none" w:sz="0" w:space="0" w:color="auto"/>
        <w:bottom w:val="none" w:sz="0" w:space="0" w:color="auto"/>
        <w:right w:val="none" w:sz="0" w:space="0" w:color="auto"/>
      </w:divBdr>
    </w:div>
    <w:div w:id="954679149">
      <w:marLeft w:val="0"/>
      <w:marRight w:val="0"/>
      <w:marTop w:val="0"/>
      <w:marBottom w:val="0"/>
      <w:divBdr>
        <w:top w:val="none" w:sz="0" w:space="0" w:color="auto"/>
        <w:left w:val="none" w:sz="0" w:space="0" w:color="auto"/>
        <w:bottom w:val="none" w:sz="0" w:space="0" w:color="auto"/>
        <w:right w:val="none" w:sz="0" w:space="0" w:color="auto"/>
      </w:divBdr>
    </w:div>
    <w:div w:id="954679150">
      <w:marLeft w:val="0"/>
      <w:marRight w:val="0"/>
      <w:marTop w:val="0"/>
      <w:marBottom w:val="0"/>
      <w:divBdr>
        <w:top w:val="none" w:sz="0" w:space="0" w:color="auto"/>
        <w:left w:val="none" w:sz="0" w:space="0" w:color="auto"/>
        <w:bottom w:val="none" w:sz="0" w:space="0" w:color="auto"/>
        <w:right w:val="none" w:sz="0" w:space="0" w:color="auto"/>
      </w:divBdr>
    </w:div>
    <w:div w:id="954679151">
      <w:marLeft w:val="0"/>
      <w:marRight w:val="0"/>
      <w:marTop w:val="0"/>
      <w:marBottom w:val="0"/>
      <w:divBdr>
        <w:top w:val="none" w:sz="0" w:space="0" w:color="auto"/>
        <w:left w:val="none" w:sz="0" w:space="0" w:color="auto"/>
        <w:bottom w:val="none" w:sz="0" w:space="0" w:color="auto"/>
        <w:right w:val="none" w:sz="0" w:space="0" w:color="auto"/>
      </w:divBdr>
    </w:div>
    <w:div w:id="954679152">
      <w:marLeft w:val="0"/>
      <w:marRight w:val="0"/>
      <w:marTop w:val="0"/>
      <w:marBottom w:val="0"/>
      <w:divBdr>
        <w:top w:val="none" w:sz="0" w:space="0" w:color="auto"/>
        <w:left w:val="none" w:sz="0" w:space="0" w:color="auto"/>
        <w:bottom w:val="none" w:sz="0" w:space="0" w:color="auto"/>
        <w:right w:val="none" w:sz="0" w:space="0" w:color="auto"/>
      </w:divBdr>
    </w:div>
    <w:div w:id="954679153">
      <w:marLeft w:val="0"/>
      <w:marRight w:val="0"/>
      <w:marTop w:val="0"/>
      <w:marBottom w:val="0"/>
      <w:divBdr>
        <w:top w:val="none" w:sz="0" w:space="0" w:color="auto"/>
        <w:left w:val="none" w:sz="0" w:space="0" w:color="auto"/>
        <w:bottom w:val="none" w:sz="0" w:space="0" w:color="auto"/>
        <w:right w:val="none" w:sz="0" w:space="0" w:color="auto"/>
      </w:divBdr>
    </w:div>
    <w:div w:id="954679154">
      <w:marLeft w:val="0"/>
      <w:marRight w:val="0"/>
      <w:marTop w:val="0"/>
      <w:marBottom w:val="0"/>
      <w:divBdr>
        <w:top w:val="none" w:sz="0" w:space="0" w:color="auto"/>
        <w:left w:val="none" w:sz="0" w:space="0" w:color="auto"/>
        <w:bottom w:val="none" w:sz="0" w:space="0" w:color="auto"/>
        <w:right w:val="none" w:sz="0" w:space="0" w:color="auto"/>
      </w:divBdr>
    </w:div>
    <w:div w:id="954679155">
      <w:marLeft w:val="0"/>
      <w:marRight w:val="0"/>
      <w:marTop w:val="0"/>
      <w:marBottom w:val="0"/>
      <w:divBdr>
        <w:top w:val="none" w:sz="0" w:space="0" w:color="auto"/>
        <w:left w:val="none" w:sz="0" w:space="0" w:color="auto"/>
        <w:bottom w:val="none" w:sz="0" w:space="0" w:color="auto"/>
        <w:right w:val="none" w:sz="0" w:space="0" w:color="auto"/>
      </w:divBdr>
    </w:div>
    <w:div w:id="954679156">
      <w:marLeft w:val="0"/>
      <w:marRight w:val="0"/>
      <w:marTop w:val="0"/>
      <w:marBottom w:val="0"/>
      <w:divBdr>
        <w:top w:val="none" w:sz="0" w:space="0" w:color="auto"/>
        <w:left w:val="none" w:sz="0" w:space="0" w:color="auto"/>
        <w:bottom w:val="none" w:sz="0" w:space="0" w:color="auto"/>
        <w:right w:val="none" w:sz="0" w:space="0" w:color="auto"/>
      </w:divBdr>
    </w:div>
    <w:div w:id="954679157">
      <w:marLeft w:val="0"/>
      <w:marRight w:val="0"/>
      <w:marTop w:val="0"/>
      <w:marBottom w:val="0"/>
      <w:divBdr>
        <w:top w:val="none" w:sz="0" w:space="0" w:color="auto"/>
        <w:left w:val="none" w:sz="0" w:space="0" w:color="auto"/>
        <w:bottom w:val="none" w:sz="0" w:space="0" w:color="auto"/>
        <w:right w:val="none" w:sz="0" w:space="0" w:color="auto"/>
      </w:divBdr>
    </w:div>
    <w:div w:id="954679158">
      <w:marLeft w:val="0"/>
      <w:marRight w:val="0"/>
      <w:marTop w:val="0"/>
      <w:marBottom w:val="0"/>
      <w:divBdr>
        <w:top w:val="none" w:sz="0" w:space="0" w:color="auto"/>
        <w:left w:val="none" w:sz="0" w:space="0" w:color="auto"/>
        <w:bottom w:val="none" w:sz="0" w:space="0" w:color="auto"/>
        <w:right w:val="none" w:sz="0" w:space="0" w:color="auto"/>
      </w:divBdr>
    </w:div>
    <w:div w:id="954679159">
      <w:marLeft w:val="0"/>
      <w:marRight w:val="0"/>
      <w:marTop w:val="0"/>
      <w:marBottom w:val="0"/>
      <w:divBdr>
        <w:top w:val="none" w:sz="0" w:space="0" w:color="auto"/>
        <w:left w:val="none" w:sz="0" w:space="0" w:color="auto"/>
        <w:bottom w:val="none" w:sz="0" w:space="0" w:color="auto"/>
        <w:right w:val="none" w:sz="0" w:space="0" w:color="auto"/>
      </w:divBdr>
    </w:div>
    <w:div w:id="954679160">
      <w:marLeft w:val="0"/>
      <w:marRight w:val="0"/>
      <w:marTop w:val="0"/>
      <w:marBottom w:val="0"/>
      <w:divBdr>
        <w:top w:val="none" w:sz="0" w:space="0" w:color="auto"/>
        <w:left w:val="none" w:sz="0" w:space="0" w:color="auto"/>
        <w:bottom w:val="none" w:sz="0" w:space="0" w:color="auto"/>
        <w:right w:val="none" w:sz="0" w:space="0" w:color="auto"/>
      </w:divBdr>
    </w:div>
    <w:div w:id="954679161">
      <w:marLeft w:val="0"/>
      <w:marRight w:val="0"/>
      <w:marTop w:val="0"/>
      <w:marBottom w:val="0"/>
      <w:divBdr>
        <w:top w:val="none" w:sz="0" w:space="0" w:color="auto"/>
        <w:left w:val="none" w:sz="0" w:space="0" w:color="auto"/>
        <w:bottom w:val="none" w:sz="0" w:space="0" w:color="auto"/>
        <w:right w:val="none" w:sz="0" w:space="0" w:color="auto"/>
      </w:divBdr>
    </w:div>
    <w:div w:id="954679162">
      <w:marLeft w:val="0"/>
      <w:marRight w:val="0"/>
      <w:marTop w:val="0"/>
      <w:marBottom w:val="0"/>
      <w:divBdr>
        <w:top w:val="none" w:sz="0" w:space="0" w:color="auto"/>
        <w:left w:val="none" w:sz="0" w:space="0" w:color="auto"/>
        <w:bottom w:val="none" w:sz="0" w:space="0" w:color="auto"/>
        <w:right w:val="none" w:sz="0" w:space="0" w:color="auto"/>
      </w:divBdr>
    </w:div>
    <w:div w:id="954679163">
      <w:marLeft w:val="0"/>
      <w:marRight w:val="0"/>
      <w:marTop w:val="0"/>
      <w:marBottom w:val="0"/>
      <w:divBdr>
        <w:top w:val="none" w:sz="0" w:space="0" w:color="auto"/>
        <w:left w:val="none" w:sz="0" w:space="0" w:color="auto"/>
        <w:bottom w:val="none" w:sz="0" w:space="0" w:color="auto"/>
        <w:right w:val="none" w:sz="0" w:space="0" w:color="auto"/>
      </w:divBdr>
    </w:div>
    <w:div w:id="954679164">
      <w:marLeft w:val="0"/>
      <w:marRight w:val="0"/>
      <w:marTop w:val="0"/>
      <w:marBottom w:val="0"/>
      <w:divBdr>
        <w:top w:val="none" w:sz="0" w:space="0" w:color="auto"/>
        <w:left w:val="none" w:sz="0" w:space="0" w:color="auto"/>
        <w:bottom w:val="none" w:sz="0" w:space="0" w:color="auto"/>
        <w:right w:val="none" w:sz="0" w:space="0" w:color="auto"/>
      </w:divBdr>
    </w:div>
    <w:div w:id="954679165">
      <w:marLeft w:val="0"/>
      <w:marRight w:val="0"/>
      <w:marTop w:val="0"/>
      <w:marBottom w:val="0"/>
      <w:divBdr>
        <w:top w:val="none" w:sz="0" w:space="0" w:color="auto"/>
        <w:left w:val="none" w:sz="0" w:space="0" w:color="auto"/>
        <w:bottom w:val="none" w:sz="0" w:space="0" w:color="auto"/>
        <w:right w:val="none" w:sz="0" w:space="0" w:color="auto"/>
      </w:divBdr>
    </w:div>
    <w:div w:id="954679166">
      <w:marLeft w:val="0"/>
      <w:marRight w:val="0"/>
      <w:marTop w:val="0"/>
      <w:marBottom w:val="0"/>
      <w:divBdr>
        <w:top w:val="none" w:sz="0" w:space="0" w:color="auto"/>
        <w:left w:val="none" w:sz="0" w:space="0" w:color="auto"/>
        <w:bottom w:val="none" w:sz="0" w:space="0" w:color="auto"/>
        <w:right w:val="none" w:sz="0" w:space="0" w:color="auto"/>
      </w:divBdr>
    </w:div>
    <w:div w:id="954679167">
      <w:marLeft w:val="0"/>
      <w:marRight w:val="0"/>
      <w:marTop w:val="0"/>
      <w:marBottom w:val="0"/>
      <w:divBdr>
        <w:top w:val="none" w:sz="0" w:space="0" w:color="auto"/>
        <w:left w:val="none" w:sz="0" w:space="0" w:color="auto"/>
        <w:bottom w:val="none" w:sz="0" w:space="0" w:color="auto"/>
        <w:right w:val="none" w:sz="0" w:space="0" w:color="auto"/>
      </w:divBdr>
    </w:div>
    <w:div w:id="954679168">
      <w:marLeft w:val="0"/>
      <w:marRight w:val="0"/>
      <w:marTop w:val="0"/>
      <w:marBottom w:val="0"/>
      <w:divBdr>
        <w:top w:val="none" w:sz="0" w:space="0" w:color="auto"/>
        <w:left w:val="none" w:sz="0" w:space="0" w:color="auto"/>
        <w:bottom w:val="none" w:sz="0" w:space="0" w:color="auto"/>
        <w:right w:val="none" w:sz="0" w:space="0" w:color="auto"/>
      </w:divBdr>
    </w:div>
    <w:div w:id="954679169">
      <w:marLeft w:val="0"/>
      <w:marRight w:val="0"/>
      <w:marTop w:val="0"/>
      <w:marBottom w:val="0"/>
      <w:divBdr>
        <w:top w:val="none" w:sz="0" w:space="0" w:color="auto"/>
        <w:left w:val="none" w:sz="0" w:space="0" w:color="auto"/>
        <w:bottom w:val="none" w:sz="0" w:space="0" w:color="auto"/>
        <w:right w:val="none" w:sz="0" w:space="0" w:color="auto"/>
      </w:divBdr>
    </w:div>
    <w:div w:id="954679170">
      <w:marLeft w:val="0"/>
      <w:marRight w:val="0"/>
      <w:marTop w:val="0"/>
      <w:marBottom w:val="0"/>
      <w:divBdr>
        <w:top w:val="none" w:sz="0" w:space="0" w:color="auto"/>
        <w:left w:val="none" w:sz="0" w:space="0" w:color="auto"/>
        <w:bottom w:val="none" w:sz="0" w:space="0" w:color="auto"/>
        <w:right w:val="none" w:sz="0" w:space="0" w:color="auto"/>
      </w:divBdr>
    </w:div>
    <w:div w:id="954679171">
      <w:marLeft w:val="0"/>
      <w:marRight w:val="0"/>
      <w:marTop w:val="0"/>
      <w:marBottom w:val="0"/>
      <w:divBdr>
        <w:top w:val="none" w:sz="0" w:space="0" w:color="auto"/>
        <w:left w:val="none" w:sz="0" w:space="0" w:color="auto"/>
        <w:bottom w:val="none" w:sz="0" w:space="0" w:color="auto"/>
        <w:right w:val="none" w:sz="0" w:space="0" w:color="auto"/>
      </w:divBdr>
    </w:div>
    <w:div w:id="954679172">
      <w:marLeft w:val="0"/>
      <w:marRight w:val="0"/>
      <w:marTop w:val="0"/>
      <w:marBottom w:val="0"/>
      <w:divBdr>
        <w:top w:val="none" w:sz="0" w:space="0" w:color="auto"/>
        <w:left w:val="none" w:sz="0" w:space="0" w:color="auto"/>
        <w:bottom w:val="none" w:sz="0" w:space="0" w:color="auto"/>
        <w:right w:val="none" w:sz="0" w:space="0" w:color="auto"/>
      </w:divBdr>
    </w:div>
    <w:div w:id="954679173">
      <w:marLeft w:val="0"/>
      <w:marRight w:val="0"/>
      <w:marTop w:val="0"/>
      <w:marBottom w:val="0"/>
      <w:divBdr>
        <w:top w:val="none" w:sz="0" w:space="0" w:color="auto"/>
        <w:left w:val="none" w:sz="0" w:space="0" w:color="auto"/>
        <w:bottom w:val="none" w:sz="0" w:space="0" w:color="auto"/>
        <w:right w:val="none" w:sz="0" w:space="0" w:color="auto"/>
      </w:divBdr>
    </w:div>
    <w:div w:id="954679174">
      <w:marLeft w:val="0"/>
      <w:marRight w:val="0"/>
      <w:marTop w:val="0"/>
      <w:marBottom w:val="0"/>
      <w:divBdr>
        <w:top w:val="none" w:sz="0" w:space="0" w:color="auto"/>
        <w:left w:val="none" w:sz="0" w:space="0" w:color="auto"/>
        <w:bottom w:val="none" w:sz="0" w:space="0" w:color="auto"/>
        <w:right w:val="none" w:sz="0" w:space="0" w:color="auto"/>
      </w:divBdr>
    </w:div>
    <w:div w:id="954679175">
      <w:marLeft w:val="0"/>
      <w:marRight w:val="0"/>
      <w:marTop w:val="0"/>
      <w:marBottom w:val="0"/>
      <w:divBdr>
        <w:top w:val="none" w:sz="0" w:space="0" w:color="auto"/>
        <w:left w:val="none" w:sz="0" w:space="0" w:color="auto"/>
        <w:bottom w:val="none" w:sz="0" w:space="0" w:color="auto"/>
        <w:right w:val="none" w:sz="0" w:space="0" w:color="auto"/>
      </w:divBdr>
    </w:div>
    <w:div w:id="954679176">
      <w:marLeft w:val="0"/>
      <w:marRight w:val="0"/>
      <w:marTop w:val="0"/>
      <w:marBottom w:val="0"/>
      <w:divBdr>
        <w:top w:val="none" w:sz="0" w:space="0" w:color="auto"/>
        <w:left w:val="none" w:sz="0" w:space="0" w:color="auto"/>
        <w:bottom w:val="none" w:sz="0" w:space="0" w:color="auto"/>
        <w:right w:val="none" w:sz="0" w:space="0" w:color="auto"/>
      </w:divBdr>
    </w:div>
    <w:div w:id="954679177">
      <w:marLeft w:val="0"/>
      <w:marRight w:val="0"/>
      <w:marTop w:val="0"/>
      <w:marBottom w:val="0"/>
      <w:divBdr>
        <w:top w:val="none" w:sz="0" w:space="0" w:color="auto"/>
        <w:left w:val="none" w:sz="0" w:space="0" w:color="auto"/>
        <w:bottom w:val="none" w:sz="0" w:space="0" w:color="auto"/>
        <w:right w:val="none" w:sz="0" w:space="0" w:color="auto"/>
      </w:divBdr>
    </w:div>
    <w:div w:id="954679178">
      <w:marLeft w:val="0"/>
      <w:marRight w:val="0"/>
      <w:marTop w:val="0"/>
      <w:marBottom w:val="0"/>
      <w:divBdr>
        <w:top w:val="none" w:sz="0" w:space="0" w:color="auto"/>
        <w:left w:val="none" w:sz="0" w:space="0" w:color="auto"/>
        <w:bottom w:val="none" w:sz="0" w:space="0" w:color="auto"/>
        <w:right w:val="none" w:sz="0" w:space="0" w:color="auto"/>
      </w:divBdr>
    </w:div>
    <w:div w:id="954679179">
      <w:marLeft w:val="0"/>
      <w:marRight w:val="0"/>
      <w:marTop w:val="0"/>
      <w:marBottom w:val="0"/>
      <w:divBdr>
        <w:top w:val="none" w:sz="0" w:space="0" w:color="auto"/>
        <w:left w:val="none" w:sz="0" w:space="0" w:color="auto"/>
        <w:bottom w:val="none" w:sz="0" w:space="0" w:color="auto"/>
        <w:right w:val="none" w:sz="0" w:space="0" w:color="auto"/>
      </w:divBdr>
    </w:div>
    <w:div w:id="954679180">
      <w:marLeft w:val="0"/>
      <w:marRight w:val="0"/>
      <w:marTop w:val="0"/>
      <w:marBottom w:val="0"/>
      <w:divBdr>
        <w:top w:val="none" w:sz="0" w:space="0" w:color="auto"/>
        <w:left w:val="none" w:sz="0" w:space="0" w:color="auto"/>
        <w:bottom w:val="none" w:sz="0" w:space="0" w:color="auto"/>
        <w:right w:val="none" w:sz="0" w:space="0" w:color="auto"/>
      </w:divBdr>
    </w:div>
    <w:div w:id="954679181">
      <w:marLeft w:val="0"/>
      <w:marRight w:val="0"/>
      <w:marTop w:val="0"/>
      <w:marBottom w:val="0"/>
      <w:divBdr>
        <w:top w:val="none" w:sz="0" w:space="0" w:color="auto"/>
        <w:left w:val="none" w:sz="0" w:space="0" w:color="auto"/>
        <w:bottom w:val="none" w:sz="0" w:space="0" w:color="auto"/>
        <w:right w:val="none" w:sz="0" w:space="0" w:color="auto"/>
      </w:divBdr>
    </w:div>
    <w:div w:id="954679182">
      <w:marLeft w:val="0"/>
      <w:marRight w:val="0"/>
      <w:marTop w:val="0"/>
      <w:marBottom w:val="0"/>
      <w:divBdr>
        <w:top w:val="none" w:sz="0" w:space="0" w:color="auto"/>
        <w:left w:val="none" w:sz="0" w:space="0" w:color="auto"/>
        <w:bottom w:val="none" w:sz="0" w:space="0" w:color="auto"/>
        <w:right w:val="none" w:sz="0" w:space="0" w:color="auto"/>
      </w:divBdr>
    </w:div>
    <w:div w:id="954679183">
      <w:marLeft w:val="0"/>
      <w:marRight w:val="0"/>
      <w:marTop w:val="0"/>
      <w:marBottom w:val="0"/>
      <w:divBdr>
        <w:top w:val="none" w:sz="0" w:space="0" w:color="auto"/>
        <w:left w:val="none" w:sz="0" w:space="0" w:color="auto"/>
        <w:bottom w:val="none" w:sz="0" w:space="0" w:color="auto"/>
        <w:right w:val="none" w:sz="0" w:space="0" w:color="auto"/>
      </w:divBdr>
    </w:div>
    <w:div w:id="954679184">
      <w:marLeft w:val="0"/>
      <w:marRight w:val="0"/>
      <w:marTop w:val="0"/>
      <w:marBottom w:val="0"/>
      <w:divBdr>
        <w:top w:val="none" w:sz="0" w:space="0" w:color="auto"/>
        <w:left w:val="none" w:sz="0" w:space="0" w:color="auto"/>
        <w:bottom w:val="none" w:sz="0" w:space="0" w:color="auto"/>
        <w:right w:val="none" w:sz="0" w:space="0" w:color="auto"/>
      </w:divBdr>
    </w:div>
    <w:div w:id="954679185">
      <w:marLeft w:val="0"/>
      <w:marRight w:val="0"/>
      <w:marTop w:val="0"/>
      <w:marBottom w:val="0"/>
      <w:divBdr>
        <w:top w:val="none" w:sz="0" w:space="0" w:color="auto"/>
        <w:left w:val="none" w:sz="0" w:space="0" w:color="auto"/>
        <w:bottom w:val="none" w:sz="0" w:space="0" w:color="auto"/>
        <w:right w:val="none" w:sz="0" w:space="0" w:color="auto"/>
      </w:divBdr>
    </w:div>
    <w:div w:id="954679186">
      <w:marLeft w:val="0"/>
      <w:marRight w:val="0"/>
      <w:marTop w:val="0"/>
      <w:marBottom w:val="0"/>
      <w:divBdr>
        <w:top w:val="none" w:sz="0" w:space="0" w:color="auto"/>
        <w:left w:val="none" w:sz="0" w:space="0" w:color="auto"/>
        <w:bottom w:val="none" w:sz="0" w:space="0" w:color="auto"/>
        <w:right w:val="none" w:sz="0" w:space="0" w:color="auto"/>
      </w:divBdr>
    </w:div>
    <w:div w:id="954679187">
      <w:marLeft w:val="0"/>
      <w:marRight w:val="0"/>
      <w:marTop w:val="0"/>
      <w:marBottom w:val="0"/>
      <w:divBdr>
        <w:top w:val="none" w:sz="0" w:space="0" w:color="auto"/>
        <w:left w:val="none" w:sz="0" w:space="0" w:color="auto"/>
        <w:bottom w:val="none" w:sz="0" w:space="0" w:color="auto"/>
        <w:right w:val="none" w:sz="0" w:space="0" w:color="auto"/>
      </w:divBdr>
    </w:div>
    <w:div w:id="954679188">
      <w:marLeft w:val="0"/>
      <w:marRight w:val="0"/>
      <w:marTop w:val="0"/>
      <w:marBottom w:val="0"/>
      <w:divBdr>
        <w:top w:val="none" w:sz="0" w:space="0" w:color="auto"/>
        <w:left w:val="none" w:sz="0" w:space="0" w:color="auto"/>
        <w:bottom w:val="none" w:sz="0" w:space="0" w:color="auto"/>
        <w:right w:val="none" w:sz="0" w:space="0" w:color="auto"/>
      </w:divBdr>
    </w:div>
    <w:div w:id="954679189">
      <w:marLeft w:val="0"/>
      <w:marRight w:val="0"/>
      <w:marTop w:val="0"/>
      <w:marBottom w:val="0"/>
      <w:divBdr>
        <w:top w:val="none" w:sz="0" w:space="0" w:color="auto"/>
        <w:left w:val="none" w:sz="0" w:space="0" w:color="auto"/>
        <w:bottom w:val="none" w:sz="0" w:space="0" w:color="auto"/>
        <w:right w:val="none" w:sz="0" w:space="0" w:color="auto"/>
      </w:divBdr>
    </w:div>
    <w:div w:id="954679190">
      <w:marLeft w:val="0"/>
      <w:marRight w:val="0"/>
      <w:marTop w:val="0"/>
      <w:marBottom w:val="0"/>
      <w:divBdr>
        <w:top w:val="none" w:sz="0" w:space="0" w:color="auto"/>
        <w:left w:val="none" w:sz="0" w:space="0" w:color="auto"/>
        <w:bottom w:val="none" w:sz="0" w:space="0" w:color="auto"/>
        <w:right w:val="none" w:sz="0" w:space="0" w:color="auto"/>
      </w:divBdr>
    </w:div>
    <w:div w:id="954679191">
      <w:marLeft w:val="0"/>
      <w:marRight w:val="0"/>
      <w:marTop w:val="0"/>
      <w:marBottom w:val="0"/>
      <w:divBdr>
        <w:top w:val="none" w:sz="0" w:space="0" w:color="auto"/>
        <w:left w:val="none" w:sz="0" w:space="0" w:color="auto"/>
        <w:bottom w:val="none" w:sz="0" w:space="0" w:color="auto"/>
        <w:right w:val="none" w:sz="0" w:space="0" w:color="auto"/>
      </w:divBdr>
    </w:div>
    <w:div w:id="954679192">
      <w:marLeft w:val="0"/>
      <w:marRight w:val="0"/>
      <w:marTop w:val="0"/>
      <w:marBottom w:val="0"/>
      <w:divBdr>
        <w:top w:val="none" w:sz="0" w:space="0" w:color="auto"/>
        <w:left w:val="none" w:sz="0" w:space="0" w:color="auto"/>
        <w:bottom w:val="none" w:sz="0" w:space="0" w:color="auto"/>
        <w:right w:val="none" w:sz="0" w:space="0" w:color="auto"/>
      </w:divBdr>
    </w:div>
    <w:div w:id="954679193">
      <w:marLeft w:val="0"/>
      <w:marRight w:val="0"/>
      <w:marTop w:val="0"/>
      <w:marBottom w:val="0"/>
      <w:divBdr>
        <w:top w:val="none" w:sz="0" w:space="0" w:color="auto"/>
        <w:left w:val="none" w:sz="0" w:space="0" w:color="auto"/>
        <w:bottom w:val="none" w:sz="0" w:space="0" w:color="auto"/>
        <w:right w:val="none" w:sz="0" w:space="0" w:color="auto"/>
      </w:divBdr>
    </w:div>
    <w:div w:id="954679194">
      <w:marLeft w:val="0"/>
      <w:marRight w:val="0"/>
      <w:marTop w:val="0"/>
      <w:marBottom w:val="0"/>
      <w:divBdr>
        <w:top w:val="none" w:sz="0" w:space="0" w:color="auto"/>
        <w:left w:val="none" w:sz="0" w:space="0" w:color="auto"/>
        <w:bottom w:val="none" w:sz="0" w:space="0" w:color="auto"/>
        <w:right w:val="none" w:sz="0" w:space="0" w:color="auto"/>
      </w:divBdr>
    </w:div>
    <w:div w:id="954679195">
      <w:marLeft w:val="0"/>
      <w:marRight w:val="0"/>
      <w:marTop w:val="0"/>
      <w:marBottom w:val="0"/>
      <w:divBdr>
        <w:top w:val="none" w:sz="0" w:space="0" w:color="auto"/>
        <w:left w:val="none" w:sz="0" w:space="0" w:color="auto"/>
        <w:bottom w:val="none" w:sz="0" w:space="0" w:color="auto"/>
        <w:right w:val="none" w:sz="0" w:space="0" w:color="auto"/>
      </w:divBdr>
    </w:div>
    <w:div w:id="954679196">
      <w:marLeft w:val="0"/>
      <w:marRight w:val="0"/>
      <w:marTop w:val="0"/>
      <w:marBottom w:val="0"/>
      <w:divBdr>
        <w:top w:val="none" w:sz="0" w:space="0" w:color="auto"/>
        <w:left w:val="none" w:sz="0" w:space="0" w:color="auto"/>
        <w:bottom w:val="none" w:sz="0" w:space="0" w:color="auto"/>
        <w:right w:val="none" w:sz="0" w:space="0" w:color="auto"/>
      </w:divBdr>
    </w:div>
    <w:div w:id="954679197">
      <w:marLeft w:val="0"/>
      <w:marRight w:val="0"/>
      <w:marTop w:val="0"/>
      <w:marBottom w:val="0"/>
      <w:divBdr>
        <w:top w:val="none" w:sz="0" w:space="0" w:color="auto"/>
        <w:left w:val="none" w:sz="0" w:space="0" w:color="auto"/>
        <w:bottom w:val="none" w:sz="0" w:space="0" w:color="auto"/>
        <w:right w:val="none" w:sz="0" w:space="0" w:color="auto"/>
      </w:divBdr>
    </w:div>
    <w:div w:id="954679198">
      <w:marLeft w:val="0"/>
      <w:marRight w:val="0"/>
      <w:marTop w:val="0"/>
      <w:marBottom w:val="0"/>
      <w:divBdr>
        <w:top w:val="none" w:sz="0" w:space="0" w:color="auto"/>
        <w:left w:val="none" w:sz="0" w:space="0" w:color="auto"/>
        <w:bottom w:val="none" w:sz="0" w:space="0" w:color="auto"/>
        <w:right w:val="none" w:sz="0" w:space="0" w:color="auto"/>
      </w:divBdr>
    </w:div>
    <w:div w:id="954679199">
      <w:marLeft w:val="0"/>
      <w:marRight w:val="0"/>
      <w:marTop w:val="0"/>
      <w:marBottom w:val="0"/>
      <w:divBdr>
        <w:top w:val="none" w:sz="0" w:space="0" w:color="auto"/>
        <w:left w:val="none" w:sz="0" w:space="0" w:color="auto"/>
        <w:bottom w:val="none" w:sz="0" w:space="0" w:color="auto"/>
        <w:right w:val="none" w:sz="0" w:space="0" w:color="auto"/>
      </w:divBdr>
    </w:div>
    <w:div w:id="954679200">
      <w:marLeft w:val="0"/>
      <w:marRight w:val="0"/>
      <w:marTop w:val="0"/>
      <w:marBottom w:val="0"/>
      <w:divBdr>
        <w:top w:val="none" w:sz="0" w:space="0" w:color="auto"/>
        <w:left w:val="none" w:sz="0" w:space="0" w:color="auto"/>
        <w:bottom w:val="none" w:sz="0" w:space="0" w:color="auto"/>
        <w:right w:val="none" w:sz="0" w:space="0" w:color="auto"/>
      </w:divBdr>
    </w:div>
    <w:div w:id="954679201">
      <w:marLeft w:val="0"/>
      <w:marRight w:val="0"/>
      <w:marTop w:val="0"/>
      <w:marBottom w:val="0"/>
      <w:divBdr>
        <w:top w:val="none" w:sz="0" w:space="0" w:color="auto"/>
        <w:left w:val="none" w:sz="0" w:space="0" w:color="auto"/>
        <w:bottom w:val="none" w:sz="0" w:space="0" w:color="auto"/>
        <w:right w:val="none" w:sz="0" w:space="0" w:color="auto"/>
      </w:divBdr>
    </w:div>
    <w:div w:id="954679202">
      <w:marLeft w:val="0"/>
      <w:marRight w:val="0"/>
      <w:marTop w:val="0"/>
      <w:marBottom w:val="0"/>
      <w:divBdr>
        <w:top w:val="none" w:sz="0" w:space="0" w:color="auto"/>
        <w:left w:val="none" w:sz="0" w:space="0" w:color="auto"/>
        <w:bottom w:val="none" w:sz="0" w:space="0" w:color="auto"/>
        <w:right w:val="none" w:sz="0" w:space="0" w:color="auto"/>
      </w:divBdr>
    </w:div>
    <w:div w:id="954679203">
      <w:marLeft w:val="0"/>
      <w:marRight w:val="0"/>
      <w:marTop w:val="0"/>
      <w:marBottom w:val="0"/>
      <w:divBdr>
        <w:top w:val="none" w:sz="0" w:space="0" w:color="auto"/>
        <w:left w:val="none" w:sz="0" w:space="0" w:color="auto"/>
        <w:bottom w:val="none" w:sz="0" w:space="0" w:color="auto"/>
        <w:right w:val="none" w:sz="0" w:space="0" w:color="auto"/>
      </w:divBdr>
    </w:div>
    <w:div w:id="954679204">
      <w:marLeft w:val="0"/>
      <w:marRight w:val="0"/>
      <w:marTop w:val="0"/>
      <w:marBottom w:val="0"/>
      <w:divBdr>
        <w:top w:val="none" w:sz="0" w:space="0" w:color="auto"/>
        <w:left w:val="none" w:sz="0" w:space="0" w:color="auto"/>
        <w:bottom w:val="none" w:sz="0" w:space="0" w:color="auto"/>
        <w:right w:val="none" w:sz="0" w:space="0" w:color="auto"/>
      </w:divBdr>
    </w:div>
    <w:div w:id="954679205">
      <w:marLeft w:val="0"/>
      <w:marRight w:val="0"/>
      <w:marTop w:val="0"/>
      <w:marBottom w:val="0"/>
      <w:divBdr>
        <w:top w:val="none" w:sz="0" w:space="0" w:color="auto"/>
        <w:left w:val="none" w:sz="0" w:space="0" w:color="auto"/>
        <w:bottom w:val="none" w:sz="0" w:space="0" w:color="auto"/>
        <w:right w:val="none" w:sz="0" w:space="0" w:color="auto"/>
      </w:divBdr>
    </w:div>
    <w:div w:id="954679206">
      <w:marLeft w:val="0"/>
      <w:marRight w:val="0"/>
      <w:marTop w:val="0"/>
      <w:marBottom w:val="0"/>
      <w:divBdr>
        <w:top w:val="none" w:sz="0" w:space="0" w:color="auto"/>
        <w:left w:val="none" w:sz="0" w:space="0" w:color="auto"/>
        <w:bottom w:val="none" w:sz="0" w:space="0" w:color="auto"/>
        <w:right w:val="none" w:sz="0" w:space="0" w:color="auto"/>
      </w:divBdr>
    </w:div>
    <w:div w:id="954679207">
      <w:marLeft w:val="0"/>
      <w:marRight w:val="0"/>
      <w:marTop w:val="0"/>
      <w:marBottom w:val="0"/>
      <w:divBdr>
        <w:top w:val="none" w:sz="0" w:space="0" w:color="auto"/>
        <w:left w:val="none" w:sz="0" w:space="0" w:color="auto"/>
        <w:bottom w:val="none" w:sz="0" w:space="0" w:color="auto"/>
        <w:right w:val="none" w:sz="0" w:space="0" w:color="auto"/>
      </w:divBdr>
    </w:div>
    <w:div w:id="954679208">
      <w:marLeft w:val="0"/>
      <w:marRight w:val="0"/>
      <w:marTop w:val="0"/>
      <w:marBottom w:val="0"/>
      <w:divBdr>
        <w:top w:val="none" w:sz="0" w:space="0" w:color="auto"/>
        <w:left w:val="none" w:sz="0" w:space="0" w:color="auto"/>
        <w:bottom w:val="none" w:sz="0" w:space="0" w:color="auto"/>
        <w:right w:val="none" w:sz="0" w:space="0" w:color="auto"/>
      </w:divBdr>
    </w:div>
    <w:div w:id="954679209">
      <w:marLeft w:val="0"/>
      <w:marRight w:val="0"/>
      <w:marTop w:val="0"/>
      <w:marBottom w:val="0"/>
      <w:divBdr>
        <w:top w:val="none" w:sz="0" w:space="0" w:color="auto"/>
        <w:left w:val="none" w:sz="0" w:space="0" w:color="auto"/>
        <w:bottom w:val="none" w:sz="0" w:space="0" w:color="auto"/>
        <w:right w:val="none" w:sz="0" w:space="0" w:color="auto"/>
      </w:divBdr>
    </w:div>
    <w:div w:id="954679210">
      <w:marLeft w:val="0"/>
      <w:marRight w:val="0"/>
      <w:marTop w:val="0"/>
      <w:marBottom w:val="0"/>
      <w:divBdr>
        <w:top w:val="none" w:sz="0" w:space="0" w:color="auto"/>
        <w:left w:val="none" w:sz="0" w:space="0" w:color="auto"/>
        <w:bottom w:val="none" w:sz="0" w:space="0" w:color="auto"/>
        <w:right w:val="none" w:sz="0" w:space="0" w:color="auto"/>
      </w:divBdr>
    </w:div>
    <w:div w:id="954679211">
      <w:marLeft w:val="0"/>
      <w:marRight w:val="0"/>
      <w:marTop w:val="0"/>
      <w:marBottom w:val="0"/>
      <w:divBdr>
        <w:top w:val="none" w:sz="0" w:space="0" w:color="auto"/>
        <w:left w:val="none" w:sz="0" w:space="0" w:color="auto"/>
        <w:bottom w:val="none" w:sz="0" w:space="0" w:color="auto"/>
        <w:right w:val="none" w:sz="0" w:space="0" w:color="auto"/>
      </w:divBdr>
    </w:div>
    <w:div w:id="1029375683">
      <w:bodyDiv w:val="1"/>
      <w:marLeft w:val="0"/>
      <w:marRight w:val="0"/>
      <w:marTop w:val="0"/>
      <w:marBottom w:val="0"/>
      <w:divBdr>
        <w:top w:val="none" w:sz="0" w:space="0" w:color="auto"/>
        <w:left w:val="none" w:sz="0" w:space="0" w:color="auto"/>
        <w:bottom w:val="none" w:sz="0" w:space="0" w:color="auto"/>
        <w:right w:val="none" w:sz="0" w:space="0" w:color="auto"/>
      </w:divBdr>
    </w:div>
    <w:div w:id="1043285669">
      <w:bodyDiv w:val="1"/>
      <w:marLeft w:val="0"/>
      <w:marRight w:val="0"/>
      <w:marTop w:val="0"/>
      <w:marBottom w:val="0"/>
      <w:divBdr>
        <w:top w:val="none" w:sz="0" w:space="0" w:color="auto"/>
        <w:left w:val="none" w:sz="0" w:space="0" w:color="auto"/>
        <w:bottom w:val="none" w:sz="0" w:space="0" w:color="auto"/>
        <w:right w:val="none" w:sz="0" w:space="0" w:color="auto"/>
      </w:divBdr>
    </w:div>
    <w:div w:id="1228229812">
      <w:bodyDiv w:val="1"/>
      <w:marLeft w:val="0"/>
      <w:marRight w:val="0"/>
      <w:marTop w:val="0"/>
      <w:marBottom w:val="0"/>
      <w:divBdr>
        <w:top w:val="none" w:sz="0" w:space="0" w:color="auto"/>
        <w:left w:val="none" w:sz="0" w:space="0" w:color="auto"/>
        <w:bottom w:val="none" w:sz="0" w:space="0" w:color="auto"/>
        <w:right w:val="none" w:sz="0" w:space="0" w:color="auto"/>
      </w:divBdr>
    </w:div>
    <w:div w:id="1590770483">
      <w:bodyDiv w:val="1"/>
      <w:marLeft w:val="0"/>
      <w:marRight w:val="0"/>
      <w:marTop w:val="0"/>
      <w:marBottom w:val="0"/>
      <w:divBdr>
        <w:top w:val="none" w:sz="0" w:space="0" w:color="auto"/>
        <w:left w:val="none" w:sz="0" w:space="0" w:color="auto"/>
        <w:bottom w:val="none" w:sz="0" w:space="0" w:color="auto"/>
        <w:right w:val="none" w:sz="0" w:space="0" w:color="auto"/>
      </w:divBdr>
    </w:div>
    <w:div w:id="1702512676">
      <w:bodyDiv w:val="1"/>
      <w:marLeft w:val="0"/>
      <w:marRight w:val="0"/>
      <w:marTop w:val="0"/>
      <w:marBottom w:val="0"/>
      <w:divBdr>
        <w:top w:val="none" w:sz="0" w:space="0" w:color="auto"/>
        <w:left w:val="none" w:sz="0" w:space="0" w:color="auto"/>
        <w:bottom w:val="none" w:sz="0" w:space="0" w:color="auto"/>
        <w:right w:val="none" w:sz="0" w:space="0" w:color="auto"/>
      </w:divBdr>
    </w:div>
    <w:div w:id="1713574189">
      <w:bodyDiv w:val="1"/>
      <w:marLeft w:val="0"/>
      <w:marRight w:val="0"/>
      <w:marTop w:val="0"/>
      <w:marBottom w:val="0"/>
      <w:divBdr>
        <w:top w:val="none" w:sz="0" w:space="0" w:color="auto"/>
        <w:left w:val="none" w:sz="0" w:space="0" w:color="auto"/>
        <w:bottom w:val="none" w:sz="0" w:space="0" w:color="auto"/>
        <w:right w:val="none" w:sz="0" w:space="0" w:color="auto"/>
      </w:divBdr>
    </w:div>
    <w:div w:id="1904411689">
      <w:bodyDiv w:val="1"/>
      <w:marLeft w:val="0"/>
      <w:marRight w:val="0"/>
      <w:marTop w:val="0"/>
      <w:marBottom w:val="0"/>
      <w:divBdr>
        <w:top w:val="none" w:sz="0" w:space="0" w:color="auto"/>
        <w:left w:val="none" w:sz="0" w:space="0" w:color="auto"/>
        <w:bottom w:val="none" w:sz="0" w:space="0" w:color="auto"/>
        <w:right w:val="none" w:sz="0" w:space="0" w:color="auto"/>
      </w:divBdr>
    </w:div>
    <w:div w:id="1935740443">
      <w:bodyDiv w:val="1"/>
      <w:marLeft w:val="0"/>
      <w:marRight w:val="0"/>
      <w:marTop w:val="0"/>
      <w:marBottom w:val="0"/>
      <w:divBdr>
        <w:top w:val="none" w:sz="0" w:space="0" w:color="auto"/>
        <w:left w:val="none" w:sz="0" w:space="0" w:color="auto"/>
        <w:bottom w:val="none" w:sz="0" w:space="0" w:color="auto"/>
        <w:right w:val="none" w:sz="0" w:space="0" w:color="auto"/>
      </w:divBdr>
    </w:div>
    <w:div w:id="1945305216">
      <w:bodyDiv w:val="1"/>
      <w:marLeft w:val="0"/>
      <w:marRight w:val="0"/>
      <w:marTop w:val="0"/>
      <w:marBottom w:val="0"/>
      <w:divBdr>
        <w:top w:val="none" w:sz="0" w:space="0" w:color="auto"/>
        <w:left w:val="none" w:sz="0" w:space="0" w:color="auto"/>
        <w:bottom w:val="none" w:sz="0" w:space="0" w:color="auto"/>
        <w:right w:val="none" w:sz="0" w:space="0" w:color="auto"/>
      </w:divBdr>
    </w:div>
    <w:div w:id="20628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F682-1660-4B75-9A9F-57E4CD39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2252</Words>
  <Characters>12304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Appendix A</vt:lpstr>
    </vt:vector>
  </TitlesOfParts>
  <Company>Lancashire County Council</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Lancashire Council</dc:creator>
  <cp:keywords>Council meetings;Government, politics and public administration; Local government; Decision making; Council meetings;</cp:keywords>
  <cp:lastModifiedBy>Mather, Chris</cp:lastModifiedBy>
  <cp:revision>3</cp:revision>
  <cp:lastPrinted>2015-12-10T13:39:00Z</cp:lastPrinted>
  <dcterms:created xsi:type="dcterms:W3CDTF">2016-01-04T15:14:00Z</dcterms:created>
  <dcterms:modified xsi:type="dcterms:W3CDTF">2016-01-15T14:06:00Z</dcterms:modified>
</cp:coreProperties>
</file>